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71C23" w14:textId="24445C0A" w:rsidR="00F223B9" w:rsidRPr="00B10D00" w:rsidRDefault="00F223B9" w:rsidP="00F223B9">
      <w:pPr>
        <w:pStyle w:val="Heading2"/>
        <w:numPr>
          <w:ilvl w:val="0"/>
          <w:numId w:val="0"/>
        </w:numPr>
        <w:shd w:val="clear" w:color="auto" w:fill="002060"/>
        <w:jc w:val="center"/>
        <w:rPr>
          <w:b/>
          <w:bCs/>
          <w:color w:val="FFFFFF" w:themeColor="background1"/>
        </w:rPr>
      </w:pPr>
      <w:r w:rsidRPr="00B10D00">
        <w:rPr>
          <w:b/>
          <w:bCs/>
          <w:color w:val="FFFFFF" w:themeColor="background1"/>
        </w:rPr>
        <w:t xml:space="preserve">Tips for </w:t>
      </w:r>
      <w:r>
        <w:rPr>
          <w:b/>
          <w:bCs/>
          <w:color w:val="FFFFFF" w:themeColor="background1"/>
        </w:rPr>
        <w:t>ASES Project Leaders</w:t>
      </w:r>
    </w:p>
    <w:p w14:paraId="2D62E452" w14:textId="77777777" w:rsidR="00F223B9" w:rsidRDefault="00F223B9"/>
    <w:tbl>
      <w:tblPr>
        <w:tblStyle w:val="TableGrid"/>
        <w:tblW w:w="0" w:type="auto"/>
        <w:tblLook w:val="04A0" w:firstRow="1" w:lastRow="0" w:firstColumn="1" w:lastColumn="0" w:noHBand="0" w:noVBand="1"/>
      </w:tblPr>
      <w:tblGrid>
        <w:gridCol w:w="9016"/>
      </w:tblGrid>
      <w:tr w:rsidR="00F223B9" w:rsidRPr="00F223B9" w14:paraId="4CACA535" w14:textId="77777777" w:rsidTr="00F223B9">
        <w:tc>
          <w:tcPr>
            <w:tcW w:w="9016" w:type="dxa"/>
            <w:shd w:val="clear" w:color="auto" w:fill="00B0F0"/>
          </w:tcPr>
          <w:p w14:paraId="61ADC817" w14:textId="69E3F87D" w:rsidR="00F223B9" w:rsidRPr="00F223B9" w:rsidRDefault="00F223B9" w:rsidP="00F223B9">
            <w:pPr>
              <w:pStyle w:val="TableParagraph"/>
              <w:numPr>
                <w:ilvl w:val="0"/>
                <w:numId w:val="13"/>
              </w:numPr>
              <w:spacing w:line="265" w:lineRule="exact"/>
              <w:rPr>
                <w:b/>
                <w:color w:val="FFFFFF" w:themeColor="background1"/>
              </w:rPr>
            </w:pPr>
            <w:r w:rsidRPr="00F223B9">
              <w:rPr>
                <w:b/>
                <w:color w:val="FFFFFF" w:themeColor="background1"/>
              </w:rPr>
              <w:t xml:space="preserve">Hold a </w:t>
            </w:r>
            <w:r w:rsidR="005822C3">
              <w:rPr>
                <w:b/>
                <w:color w:val="FFFFFF" w:themeColor="background1"/>
              </w:rPr>
              <w:t>la</w:t>
            </w:r>
            <w:r w:rsidRPr="00F223B9">
              <w:rPr>
                <w:b/>
                <w:color w:val="FFFFFF" w:themeColor="background1"/>
              </w:rPr>
              <w:t xml:space="preserve">unch or </w:t>
            </w:r>
            <w:r w:rsidR="005822C3">
              <w:rPr>
                <w:b/>
                <w:color w:val="FFFFFF" w:themeColor="background1"/>
              </w:rPr>
              <w:t>k</w:t>
            </w:r>
            <w:r w:rsidRPr="00F223B9">
              <w:rPr>
                <w:b/>
                <w:color w:val="FFFFFF" w:themeColor="background1"/>
              </w:rPr>
              <w:t xml:space="preserve">ick-off </w:t>
            </w:r>
            <w:r w:rsidR="005822C3">
              <w:rPr>
                <w:b/>
                <w:color w:val="FFFFFF" w:themeColor="background1"/>
              </w:rPr>
              <w:t>e</w:t>
            </w:r>
            <w:r w:rsidRPr="00F223B9">
              <w:rPr>
                <w:b/>
                <w:color w:val="FFFFFF" w:themeColor="background1"/>
              </w:rPr>
              <w:t>vent</w:t>
            </w:r>
          </w:p>
          <w:p w14:paraId="19BB976B" w14:textId="77777777" w:rsidR="00F223B9" w:rsidRPr="00F223B9" w:rsidRDefault="00F223B9" w:rsidP="00F223B9">
            <w:pPr>
              <w:pStyle w:val="TableParagraph"/>
              <w:spacing w:line="265" w:lineRule="exact"/>
              <w:ind w:left="107"/>
              <w:rPr>
                <w:b/>
                <w:color w:val="FFFFFF" w:themeColor="background1"/>
              </w:rPr>
            </w:pPr>
          </w:p>
        </w:tc>
      </w:tr>
      <w:tr w:rsidR="00F223B9" w14:paraId="0FCA0645" w14:textId="77777777" w:rsidTr="00F223B9">
        <w:tc>
          <w:tcPr>
            <w:tcW w:w="9016" w:type="dxa"/>
          </w:tcPr>
          <w:p w14:paraId="077F1C94" w14:textId="4F8CE200" w:rsidR="00F223B9" w:rsidRDefault="00F223B9" w:rsidP="00F223B9">
            <w:pPr>
              <w:pStyle w:val="TableParagraph"/>
              <w:numPr>
                <w:ilvl w:val="0"/>
                <w:numId w:val="5"/>
              </w:numPr>
              <w:spacing w:before="120" w:after="120"/>
              <w:ind w:right="138"/>
            </w:pPr>
            <w:r>
              <w:t>Hold a launch or kick-off event for all staff to mark the start of your accreditation process</w:t>
            </w:r>
          </w:p>
          <w:p w14:paraId="1538E833" w14:textId="30E45D86" w:rsidR="00F223B9" w:rsidRDefault="00F223B9" w:rsidP="00F223B9">
            <w:pPr>
              <w:pStyle w:val="TableParagraph"/>
              <w:numPr>
                <w:ilvl w:val="0"/>
                <w:numId w:val="5"/>
              </w:numPr>
              <w:spacing w:before="120" w:after="120"/>
              <w:ind w:right="138"/>
            </w:pPr>
            <w:r>
              <w:t>Invite members of your governing body</w:t>
            </w:r>
          </w:p>
          <w:p w14:paraId="3D7C80C2" w14:textId="5725C967" w:rsidR="00F223B9" w:rsidRDefault="00F223B9" w:rsidP="00F223B9">
            <w:pPr>
              <w:pStyle w:val="TableParagraph"/>
              <w:numPr>
                <w:ilvl w:val="0"/>
                <w:numId w:val="5"/>
              </w:numPr>
              <w:spacing w:before="120" w:after="120"/>
              <w:ind w:right="199"/>
            </w:pPr>
            <w:r>
              <w:t>The CEO and Chair of your governing body should address the meeting and discuss:</w:t>
            </w:r>
          </w:p>
          <w:p w14:paraId="619C881E" w14:textId="77777777" w:rsidR="00F223B9" w:rsidRDefault="00F223B9" w:rsidP="00F223B9">
            <w:pPr>
              <w:pStyle w:val="TableParagraph"/>
              <w:numPr>
                <w:ilvl w:val="0"/>
                <w:numId w:val="4"/>
              </w:numPr>
              <w:tabs>
                <w:tab w:val="left" w:pos="560"/>
              </w:tabs>
              <w:spacing w:before="120" w:after="120"/>
            </w:pPr>
            <w:r>
              <w:t>Why are we getting</w:t>
            </w:r>
            <w:r>
              <w:rPr>
                <w:spacing w:val="1"/>
              </w:rPr>
              <w:t xml:space="preserve"> </w:t>
            </w:r>
            <w:r>
              <w:t>accredited?</w:t>
            </w:r>
          </w:p>
          <w:p w14:paraId="4D1EC4EF" w14:textId="77777777" w:rsidR="00F223B9" w:rsidRDefault="00F223B9" w:rsidP="00F223B9">
            <w:pPr>
              <w:pStyle w:val="TableParagraph"/>
              <w:numPr>
                <w:ilvl w:val="0"/>
                <w:numId w:val="4"/>
              </w:numPr>
              <w:tabs>
                <w:tab w:val="left" w:pos="560"/>
              </w:tabs>
              <w:spacing w:before="120" w:after="120"/>
            </w:pPr>
            <w:r>
              <w:t>What does leadership expect the benefits to</w:t>
            </w:r>
            <w:r>
              <w:rPr>
                <w:spacing w:val="-10"/>
              </w:rPr>
              <w:t xml:space="preserve"> </w:t>
            </w:r>
            <w:r>
              <w:t>be?</w:t>
            </w:r>
          </w:p>
          <w:p w14:paraId="515B9A13" w14:textId="35AD080B" w:rsidR="00F223B9" w:rsidRDefault="00F223B9" w:rsidP="00F223B9">
            <w:pPr>
              <w:pStyle w:val="ListParagraph"/>
              <w:numPr>
                <w:ilvl w:val="0"/>
                <w:numId w:val="4"/>
              </w:numPr>
              <w:spacing w:before="120" w:after="120"/>
              <w:contextualSpacing w:val="0"/>
            </w:pPr>
            <w:r w:rsidRPr="00F223B9">
              <w:t>Why does it matter to us</w:t>
            </w:r>
            <w:r w:rsidR="00FC446A">
              <w:t xml:space="preserve">, </w:t>
            </w:r>
            <w:r w:rsidRPr="00F223B9">
              <w:t>our</w:t>
            </w:r>
            <w:r w:rsidRPr="00F223B9">
              <w:rPr>
                <w:spacing w:val="-9"/>
              </w:rPr>
              <w:t xml:space="preserve"> </w:t>
            </w:r>
            <w:r>
              <w:rPr>
                <w:spacing w:val="-9"/>
              </w:rPr>
              <w:t xml:space="preserve">clients and </w:t>
            </w:r>
            <w:r w:rsidRPr="00F223B9">
              <w:t>stakeholders?</w:t>
            </w:r>
          </w:p>
          <w:p w14:paraId="66957C2F" w14:textId="4D0EF1B5" w:rsidR="00F223B9" w:rsidRPr="00F223B9" w:rsidRDefault="00F223B9" w:rsidP="00F223B9"/>
        </w:tc>
      </w:tr>
    </w:tbl>
    <w:p w14:paraId="5ACB7132" w14:textId="45DDFA07" w:rsidR="00F223B9" w:rsidRDefault="00F223B9"/>
    <w:p w14:paraId="6FCDA905" w14:textId="77777777" w:rsidR="00F223B9" w:rsidRDefault="00F223B9"/>
    <w:tbl>
      <w:tblPr>
        <w:tblStyle w:val="TableGrid"/>
        <w:tblW w:w="0" w:type="auto"/>
        <w:tblLook w:val="04A0" w:firstRow="1" w:lastRow="0" w:firstColumn="1" w:lastColumn="0" w:noHBand="0" w:noVBand="1"/>
      </w:tblPr>
      <w:tblGrid>
        <w:gridCol w:w="9016"/>
      </w:tblGrid>
      <w:tr w:rsidR="00F223B9" w:rsidRPr="00F223B9" w14:paraId="51504B90" w14:textId="77777777" w:rsidTr="00F223B9">
        <w:tc>
          <w:tcPr>
            <w:tcW w:w="9016" w:type="dxa"/>
            <w:shd w:val="clear" w:color="auto" w:fill="7030A0"/>
          </w:tcPr>
          <w:p w14:paraId="0DA715EA" w14:textId="0FAAC907" w:rsidR="00F223B9" w:rsidRPr="00F223B9" w:rsidRDefault="00F223B9" w:rsidP="00F223B9">
            <w:pPr>
              <w:pStyle w:val="TableParagraph"/>
              <w:numPr>
                <w:ilvl w:val="0"/>
                <w:numId w:val="13"/>
              </w:numPr>
              <w:spacing w:line="265" w:lineRule="exact"/>
              <w:rPr>
                <w:b/>
                <w:color w:val="FFFFFF" w:themeColor="background1"/>
              </w:rPr>
            </w:pPr>
            <w:r>
              <w:rPr>
                <w:b/>
                <w:color w:val="FFFFFF" w:themeColor="background1"/>
              </w:rPr>
              <w:t xml:space="preserve">Flag for staff what is coming </w:t>
            </w:r>
          </w:p>
          <w:p w14:paraId="5E006C86" w14:textId="77777777" w:rsidR="00F223B9" w:rsidRPr="00F223B9" w:rsidRDefault="00F223B9" w:rsidP="00940364">
            <w:pPr>
              <w:pStyle w:val="TableParagraph"/>
              <w:spacing w:line="265" w:lineRule="exact"/>
              <w:ind w:left="107"/>
              <w:rPr>
                <w:b/>
                <w:color w:val="FFFFFF" w:themeColor="background1"/>
              </w:rPr>
            </w:pPr>
          </w:p>
        </w:tc>
      </w:tr>
      <w:tr w:rsidR="00F223B9" w14:paraId="109A96EA" w14:textId="77777777" w:rsidTr="00940364">
        <w:tc>
          <w:tcPr>
            <w:tcW w:w="9016" w:type="dxa"/>
          </w:tcPr>
          <w:p w14:paraId="26C1DA40" w14:textId="79A797B7" w:rsidR="00F223B9" w:rsidRDefault="00F223B9" w:rsidP="00F223B9">
            <w:pPr>
              <w:pStyle w:val="TableParagraph"/>
              <w:numPr>
                <w:ilvl w:val="0"/>
                <w:numId w:val="10"/>
              </w:numPr>
              <w:spacing w:before="120" w:after="120"/>
              <w:ind w:right="246"/>
            </w:pPr>
            <w:r>
              <w:t xml:space="preserve">Provide an overview of what is going to happen over the next several months. This can be done at a staff meeting or one of the initial information or orientation sessions you hold for staff. Include: </w:t>
            </w:r>
          </w:p>
          <w:p w14:paraId="75DE9E97" w14:textId="3BB937B7" w:rsidR="00F223B9" w:rsidRPr="00F223B9" w:rsidRDefault="00F223B9" w:rsidP="00F223B9">
            <w:pPr>
              <w:pStyle w:val="ListParagraph"/>
              <w:numPr>
                <w:ilvl w:val="0"/>
                <w:numId w:val="12"/>
              </w:numPr>
              <w:spacing w:before="120" w:after="120"/>
              <w:ind w:left="714" w:hanging="357"/>
              <w:contextualSpacing w:val="0"/>
            </w:pPr>
            <w:r w:rsidRPr="00F223B9">
              <w:t>What is ASES and accreditation?</w:t>
            </w:r>
          </w:p>
          <w:p w14:paraId="787702C9" w14:textId="4A1A557A" w:rsidR="00F223B9" w:rsidRPr="00F223B9" w:rsidRDefault="00F223B9" w:rsidP="00F223B9">
            <w:pPr>
              <w:pStyle w:val="ListParagraph"/>
              <w:numPr>
                <w:ilvl w:val="0"/>
                <w:numId w:val="12"/>
              </w:numPr>
              <w:spacing w:before="120" w:after="120"/>
              <w:ind w:left="714" w:hanging="357"/>
              <w:contextualSpacing w:val="0"/>
            </w:pPr>
            <w:r w:rsidRPr="00F223B9">
              <w:t>A brief overview of the accreditation process</w:t>
            </w:r>
          </w:p>
          <w:p w14:paraId="08B2C3A5" w14:textId="77777777" w:rsidR="00F223B9" w:rsidRPr="00F223B9" w:rsidRDefault="00F223B9" w:rsidP="00F223B9">
            <w:pPr>
              <w:pStyle w:val="ListParagraph"/>
              <w:numPr>
                <w:ilvl w:val="0"/>
                <w:numId w:val="12"/>
              </w:numPr>
              <w:spacing w:before="120" w:after="120"/>
              <w:ind w:left="714" w:hanging="357"/>
              <w:contextualSpacing w:val="0"/>
            </w:pPr>
            <w:r w:rsidRPr="00F223B9">
              <w:t>How will staff be involved, and how will this be a team effort?</w:t>
            </w:r>
          </w:p>
          <w:p w14:paraId="4D0856B3" w14:textId="207FBAB0" w:rsidR="00F223B9" w:rsidRPr="00F223B9" w:rsidRDefault="00F223B9" w:rsidP="00F223B9">
            <w:pPr>
              <w:pStyle w:val="ListParagraph"/>
              <w:numPr>
                <w:ilvl w:val="0"/>
                <w:numId w:val="12"/>
              </w:numPr>
              <w:spacing w:before="120" w:after="120"/>
              <w:ind w:left="714" w:hanging="357"/>
              <w:contextualSpacing w:val="0"/>
            </w:pPr>
            <w:r w:rsidRPr="00F223B9">
              <w:t xml:space="preserve">A candid estimate </w:t>
            </w:r>
            <w:r w:rsidR="00FC446A">
              <w:t>of</w:t>
            </w:r>
            <w:r w:rsidRPr="00F223B9">
              <w:t xml:space="preserve"> the amount of work involved.</w:t>
            </w:r>
          </w:p>
          <w:p w14:paraId="516955C6" w14:textId="510C6A84" w:rsidR="00F223B9" w:rsidRDefault="00F223B9" w:rsidP="00F223B9">
            <w:pPr>
              <w:pStyle w:val="TableParagraph"/>
              <w:tabs>
                <w:tab w:val="left" w:pos="560"/>
              </w:tabs>
              <w:spacing w:before="2"/>
              <w:ind w:right="755"/>
            </w:pPr>
          </w:p>
          <w:p w14:paraId="72775B1C" w14:textId="5D7C1101" w:rsidR="00F223B9" w:rsidRDefault="00F223B9" w:rsidP="00F223B9">
            <w:pPr>
              <w:pStyle w:val="TableParagraph"/>
              <w:tabs>
                <w:tab w:val="left" w:pos="560"/>
              </w:tabs>
              <w:spacing w:before="2"/>
              <w:ind w:right="755"/>
            </w:pPr>
            <w:r>
              <w:t xml:space="preserve">The Implementation Resource Kit in </w:t>
            </w:r>
            <w:r w:rsidRPr="00FC446A">
              <w:rPr>
                <w:i/>
                <w:iCs/>
              </w:rPr>
              <w:t>Module 1: Orientation</w:t>
            </w:r>
            <w:r>
              <w:t xml:space="preserve"> has two Introductory </w:t>
            </w:r>
            <w:r w:rsidR="00FC446A">
              <w:t>W</w:t>
            </w:r>
            <w:r>
              <w:t xml:space="preserve">ebinars and PowerPoints that can assist you with presentations. </w:t>
            </w:r>
          </w:p>
          <w:p w14:paraId="20239868" w14:textId="54B9AEE5" w:rsidR="00644895" w:rsidRPr="00F223B9" w:rsidRDefault="00644895" w:rsidP="00F223B9">
            <w:pPr>
              <w:pStyle w:val="TableParagraph"/>
              <w:tabs>
                <w:tab w:val="left" w:pos="560"/>
              </w:tabs>
              <w:spacing w:before="2"/>
              <w:ind w:right="755"/>
              <w:rPr>
                <w:lang w:val="en-GB"/>
              </w:rPr>
            </w:pPr>
          </w:p>
        </w:tc>
      </w:tr>
    </w:tbl>
    <w:p w14:paraId="44E863A9" w14:textId="017A2492" w:rsidR="00F223B9" w:rsidRDefault="00F223B9"/>
    <w:p w14:paraId="45D99E40" w14:textId="77777777" w:rsidR="00F223B9" w:rsidRDefault="00F223B9">
      <w:r>
        <w:br w:type="page"/>
      </w:r>
    </w:p>
    <w:tbl>
      <w:tblPr>
        <w:tblStyle w:val="TableGrid"/>
        <w:tblW w:w="0" w:type="auto"/>
        <w:tblLook w:val="04A0" w:firstRow="1" w:lastRow="0" w:firstColumn="1" w:lastColumn="0" w:noHBand="0" w:noVBand="1"/>
      </w:tblPr>
      <w:tblGrid>
        <w:gridCol w:w="9016"/>
      </w:tblGrid>
      <w:tr w:rsidR="00F223B9" w:rsidRPr="00F223B9" w14:paraId="502FB1FA" w14:textId="77777777" w:rsidTr="00F223B9">
        <w:tc>
          <w:tcPr>
            <w:tcW w:w="9016" w:type="dxa"/>
            <w:shd w:val="clear" w:color="auto" w:fill="FC2CE3"/>
          </w:tcPr>
          <w:p w14:paraId="51331A30" w14:textId="1D57D98E" w:rsidR="00F223B9" w:rsidRPr="00F223B9" w:rsidRDefault="00F223B9" w:rsidP="00F223B9">
            <w:pPr>
              <w:pStyle w:val="TableParagraph"/>
              <w:numPr>
                <w:ilvl w:val="0"/>
                <w:numId w:val="13"/>
              </w:numPr>
              <w:spacing w:line="265" w:lineRule="exact"/>
              <w:rPr>
                <w:b/>
                <w:color w:val="FFFFFF" w:themeColor="background1"/>
              </w:rPr>
            </w:pPr>
            <w:r>
              <w:rPr>
                <w:b/>
                <w:color w:val="FFFFFF" w:themeColor="background1"/>
              </w:rPr>
              <w:lastRenderedPageBreak/>
              <w:t xml:space="preserve">Involve as many staff as possible </w:t>
            </w:r>
          </w:p>
          <w:p w14:paraId="3080970E" w14:textId="77777777" w:rsidR="00F223B9" w:rsidRPr="00F223B9" w:rsidRDefault="00F223B9" w:rsidP="00940364">
            <w:pPr>
              <w:pStyle w:val="TableParagraph"/>
              <w:spacing w:line="265" w:lineRule="exact"/>
              <w:ind w:left="107"/>
              <w:rPr>
                <w:b/>
                <w:color w:val="FFFFFF" w:themeColor="background1"/>
              </w:rPr>
            </w:pPr>
          </w:p>
        </w:tc>
      </w:tr>
      <w:tr w:rsidR="00F223B9" w14:paraId="7CE56BE2" w14:textId="77777777" w:rsidTr="00940364">
        <w:tc>
          <w:tcPr>
            <w:tcW w:w="9016" w:type="dxa"/>
          </w:tcPr>
          <w:p w14:paraId="25A68F1A" w14:textId="18711C42" w:rsidR="00F223B9" w:rsidRDefault="00F223B9" w:rsidP="00F223B9">
            <w:pPr>
              <w:pStyle w:val="TableParagraph"/>
              <w:numPr>
                <w:ilvl w:val="0"/>
                <w:numId w:val="10"/>
              </w:numPr>
              <w:spacing w:before="120" w:after="120"/>
              <w:ind w:right="246"/>
            </w:pPr>
            <w:r>
              <w:t>Allocate responsibility for each as many staff members and/o</w:t>
            </w:r>
            <w:r w:rsidR="00FC446A">
              <w:t>r</w:t>
            </w:r>
            <w:r>
              <w:t xml:space="preserve"> teams, the governing body (it appropriate) and administrative staff. </w:t>
            </w:r>
          </w:p>
          <w:p w14:paraId="24A57ED8" w14:textId="7BA5360A" w:rsidR="00F223B9" w:rsidRDefault="00F223B9" w:rsidP="00F223B9">
            <w:pPr>
              <w:pStyle w:val="TableParagraph"/>
              <w:numPr>
                <w:ilvl w:val="0"/>
                <w:numId w:val="10"/>
              </w:numPr>
              <w:spacing w:before="120" w:after="120"/>
              <w:ind w:right="246"/>
            </w:pPr>
            <w:r>
              <w:t xml:space="preserve">Ideally, each person or team will be allocated a Standard or a section of the Standards (there are 18 standards grouping that sit under the 8 standards). Their responsibility for the standard allocated to them is to </w:t>
            </w:r>
          </w:p>
          <w:p w14:paraId="250469E0" w14:textId="193A47F3" w:rsidR="00F223B9" w:rsidRDefault="00F223B9" w:rsidP="00F223B9">
            <w:pPr>
              <w:pStyle w:val="TableParagraph"/>
              <w:numPr>
                <w:ilvl w:val="0"/>
                <w:numId w:val="14"/>
              </w:numPr>
              <w:spacing w:before="120" w:after="120"/>
              <w:ind w:right="246"/>
            </w:pPr>
            <w:r>
              <w:t>Familiarise themselves with the relevant standards and evidence</w:t>
            </w:r>
          </w:p>
          <w:p w14:paraId="355E74A4" w14:textId="33725FFC" w:rsidR="00F223B9" w:rsidRDefault="00F223B9" w:rsidP="00F223B9">
            <w:pPr>
              <w:pStyle w:val="TableParagraph"/>
              <w:numPr>
                <w:ilvl w:val="0"/>
                <w:numId w:val="14"/>
              </w:numPr>
              <w:spacing w:before="120" w:after="120"/>
              <w:ind w:right="246"/>
            </w:pPr>
            <w:r>
              <w:t>Undertake the initial self-assessment of practices against the standard</w:t>
            </w:r>
          </w:p>
          <w:p w14:paraId="03AD8F40" w14:textId="3A7D40E2" w:rsidR="00F223B9" w:rsidRDefault="00F223B9" w:rsidP="00F223B9">
            <w:pPr>
              <w:pStyle w:val="TableParagraph"/>
              <w:numPr>
                <w:ilvl w:val="0"/>
                <w:numId w:val="14"/>
              </w:numPr>
              <w:spacing w:before="120" w:after="120"/>
              <w:ind w:right="246"/>
            </w:pPr>
            <w:r>
              <w:t>Update practices and/or develop new practices, as needed</w:t>
            </w:r>
          </w:p>
          <w:p w14:paraId="345D2B4B" w14:textId="59B1FEDF" w:rsidR="00F223B9" w:rsidRDefault="00F223B9" w:rsidP="00F223B9">
            <w:pPr>
              <w:pStyle w:val="TableParagraph"/>
              <w:numPr>
                <w:ilvl w:val="0"/>
                <w:numId w:val="14"/>
              </w:numPr>
              <w:spacing w:before="120" w:after="120"/>
              <w:ind w:right="246"/>
            </w:pPr>
            <w:r>
              <w:t>Ensure that the standards are implemented</w:t>
            </w:r>
          </w:p>
          <w:p w14:paraId="3C114088" w14:textId="3965321A" w:rsidR="00F223B9" w:rsidRPr="00F223B9" w:rsidRDefault="00F223B9" w:rsidP="00F223B9">
            <w:pPr>
              <w:spacing w:before="120" w:after="120"/>
            </w:pPr>
            <w:r>
              <w:t xml:space="preserve">You can record all the work and allocations in the ASES Project Plan Template that is provided as part of Module 2: Planning ASES Implementation. </w:t>
            </w:r>
          </w:p>
        </w:tc>
      </w:tr>
    </w:tbl>
    <w:p w14:paraId="7A98C10D" w14:textId="6EA2B33E" w:rsidR="00F223B9" w:rsidRDefault="00F223B9"/>
    <w:tbl>
      <w:tblPr>
        <w:tblStyle w:val="TableGrid"/>
        <w:tblW w:w="0" w:type="auto"/>
        <w:tblLook w:val="04A0" w:firstRow="1" w:lastRow="0" w:firstColumn="1" w:lastColumn="0" w:noHBand="0" w:noVBand="1"/>
      </w:tblPr>
      <w:tblGrid>
        <w:gridCol w:w="9016"/>
      </w:tblGrid>
      <w:tr w:rsidR="00F223B9" w:rsidRPr="00F223B9" w14:paraId="352B4C54" w14:textId="77777777" w:rsidTr="00F223B9">
        <w:tc>
          <w:tcPr>
            <w:tcW w:w="9016" w:type="dxa"/>
            <w:shd w:val="clear" w:color="auto" w:fill="00B050"/>
          </w:tcPr>
          <w:p w14:paraId="402A6B95" w14:textId="41D4782F" w:rsidR="00F223B9" w:rsidRPr="00F223B9" w:rsidRDefault="00FC446A" w:rsidP="00940364">
            <w:pPr>
              <w:pStyle w:val="TableParagraph"/>
              <w:numPr>
                <w:ilvl w:val="0"/>
                <w:numId w:val="13"/>
              </w:numPr>
              <w:spacing w:line="265" w:lineRule="exact"/>
              <w:rPr>
                <w:b/>
                <w:color w:val="FFFFFF" w:themeColor="background1"/>
              </w:rPr>
            </w:pPr>
            <w:r>
              <w:rPr>
                <w:b/>
                <w:color w:val="FFFFFF" w:themeColor="background1"/>
              </w:rPr>
              <w:t>Consider c</w:t>
            </w:r>
            <w:r w:rsidR="00F223B9">
              <w:rPr>
                <w:b/>
                <w:color w:val="FFFFFF" w:themeColor="background1"/>
              </w:rPr>
              <w:t xml:space="preserve">ommittees and working groups </w:t>
            </w:r>
          </w:p>
          <w:p w14:paraId="366E010E" w14:textId="77777777" w:rsidR="00F223B9" w:rsidRPr="00F223B9" w:rsidRDefault="00F223B9" w:rsidP="00940364">
            <w:pPr>
              <w:pStyle w:val="TableParagraph"/>
              <w:spacing w:line="265" w:lineRule="exact"/>
              <w:ind w:left="107"/>
              <w:rPr>
                <w:b/>
                <w:color w:val="FFFFFF" w:themeColor="background1"/>
              </w:rPr>
            </w:pPr>
          </w:p>
        </w:tc>
      </w:tr>
      <w:tr w:rsidR="00F223B9" w14:paraId="54B1EA2E" w14:textId="77777777" w:rsidTr="00940364">
        <w:tc>
          <w:tcPr>
            <w:tcW w:w="9016" w:type="dxa"/>
          </w:tcPr>
          <w:p w14:paraId="2E69CF16" w14:textId="6C20FB67" w:rsidR="00F223B9" w:rsidRDefault="00F223B9" w:rsidP="00F223B9">
            <w:pPr>
              <w:pStyle w:val="TableParagraph"/>
              <w:numPr>
                <w:ilvl w:val="0"/>
                <w:numId w:val="10"/>
              </w:numPr>
              <w:spacing w:before="120" w:after="120"/>
              <w:ind w:right="246"/>
            </w:pPr>
            <w:r>
              <w:t xml:space="preserve">If your organisation is big enough, targeted use of committees can engage staff and external stakeholders </w:t>
            </w:r>
          </w:p>
          <w:p w14:paraId="53CB07EE" w14:textId="0C0E3208" w:rsidR="00F223B9" w:rsidRDefault="00F223B9" w:rsidP="00F223B9">
            <w:pPr>
              <w:pStyle w:val="TableParagraph"/>
              <w:numPr>
                <w:ilvl w:val="0"/>
                <w:numId w:val="10"/>
              </w:numPr>
              <w:spacing w:before="120" w:after="120"/>
              <w:ind w:right="246"/>
            </w:pPr>
            <w:r>
              <w:t>It may be useful and efficient to divide staff into teams and/or to use existing organisational committees to help review standards and prepare accreditation materials.</w:t>
            </w:r>
          </w:p>
          <w:p w14:paraId="2EFC2914" w14:textId="4AA7D9B7" w:rsidR="00F223B9" w:rsidRDefault="00F223B9" w:rsidP="00F223B9">
            <w:pPr>
              <w:pStyle w:val="TableParagraph"/>
              <w:numPr>
                <w:ilvl w:val="0"/>
                <w:numId w:val="10"/>
              </w:numPr>
              <w:spacing w:before="120" w:after="120"/>
              <w:ind w:right="246"/>
            </w:pPr>
            <w:r>
              <w:t>Examples of internal committees or working groups might include:</w:t>
            </w:r>
          </w:p>
          <w:p w14:paraId="6B19B3B7" w14:textId="08AAF08E" w:rsidR="00F223B9" w:rsidRDefault="00F223B9" w:rsidP="00F223B9">
            <w:pPr>
              <w:pStyle w:val="TableParagraph"/>
              <w:numPr>
                <w:ilvl w:val="0"/>
                <w:numId w:val="15"/>
              </w:numPr>
              <w:spacing w:before="120" w:after="120"/>
              <w:ind w:right="246"/>
            </w:pPr>
            <w:r>
              <w:t xml:space="preserve">Risk Management </w:t>
            </w:r>
          </w:p>
          <w:p w14:paraId="541075DB" w14:textId="42420148" w:rsidR="00F223B9" w:rsidRDefault="00F223B9" w:rsidP="00F223B9">
            <w:pPr>
              <w:pStyle w:val="TableParagraph"/>
              <w:numPr>
                <w:ilvl w:val="0"/>
                <w:numId w:val="15"/>
              </w:numPr>
              <w:spacing w:before="120" w:after="120"/>
              <w:ind w:right="246"/>
            </w:pPr>
            <w:r>
              <w:t xml:space="preserve">Human Resources </w:t>
            </w:r>
          </w:p>
          <w:p w14:paraId="16862E80" w14:textId="29AE971C" w:rsidR="00F223B9" w:rsidRDefault="00F223B9" w:rsidP="00F223B9">
            <w:pPr>
              <w:pStyle w:val="TableParagraph"/>
              <w:numPr>
                <w:ilvl w:val="0"/>
                <w:numId w:val="15"/>
              </w:numPr>
              <w:spacing w:before="120" w:after="120"/>
              <w:ind w:right="246"/>
            </w:pPr>
            <w:r>
              <w:t xml:space="preserve">Governance and Financial Management </w:t>
            </w:r>
          </w:p>
          <w:p w14:paraId="34B2931B" w14:textId="77777777" w:rsidR="00F223B9" w:rsidRDefault="00F223B9" w:rsidP="00F223B9">
            <w:pPr>
              <w:pStyle w:val="TableParagraph"/>
              <w:numPr>
                <w:ilvl w:val="0"/>
                <w:numId w:val="15"/>
              </w:numPr>
              <w:spacing w:before="120" w:after="120"/>
              <w:ind w:right="246"/>
            </w:pPr>
            <w:r>
              <w:t>Planning and Quality Improvement (PQI)</w:t>
            </w:r>
          </w:p>
          <w:p w14:paraId="41C24BE6" w14:textId="77777777" w:rsidR="00F223B9" w:rsidRDefault="00F223B9" w:rsidP="00F223B9">
            <w:pPr>
              <w:pStyle w:val="TableParagraph"/>
              <w:numPr>
                <w:ilvl w:val="0"/>
                <w:numId w:val="15"/>
              </w:numPr>
              <w:spacing w:before="120" w:after="120"/>
              <w:ind w:right="246"/>
            </w:pPr>
            <w:r>
              <w:t>Client Rights (CR)/Behavior Support and Management (BSM)</w:t>
            </w:r>
          </w:p>
          <w:p w14:paraId="6032D8E5" w14:textId="77777777" w:rsidR="00F223B9" w:rsidRDefault="00F223B9" w:rsidP="00F223B9">
            <w:pPr>
              <w:pStyle w:val="TableParagraph"/>
              <w:numPr>
                <w:ilvl w:val="0"/>
                <w:numId w:val="15"/>
              </w:numPr>
              <w:spacing w:before="120" w:after="120"/>
              <w:ind w:right="246"/>
            </w:pPr>
            <w:r>
              <w:t xml:space="preserve">Committees addressing specific service sections or populations such as youth women, Aboriginal services, domestic violence </w:t>
            </w:r>
          </w:p>
          <w:p w14:paraId="6CB77289" w14:textId="7D4F8E72" w:rsidR="00F223B9" w:rsidRPr="00F223B9" w:rsidRDefault="00F223B9" w:rsidP="00940364">
            <w:pPr>
              <w:spacing w:before="120" w:after="120"/>
            </w:pPr>
            <w:r>
              <w:t xml:space="preserve">Committees can also undertake some of the work mentioned in the previous section. </w:t>
            </w:r>
          </w:p>
        </w:tc>
      </w:tr>
    </w:tbl>
    <w:p w14:paraId="7F616EB0" w14:textId="2EA2B680" w:rsidR="00F223B9" w:rsidRDefault="00F223B9"/>
    <w:p w14:paraId="3340085B" w14:textId="2C871CB8" w:rsidR="00F223B9" w:rsidRDefault="00F223B9"/>
    <w:p w14:paraId="56658952" w14:textId="77777777" w:rsidR="00F223B9" w:rsidRDefault="00F223B9"/>
    <w:tbl>
      <w:tblPr>
        <w:tblStyle w:val="TableGrid"/>
        <w:tblW w:w="0" w:type="auto"/>
        <w:tblLook w:val="04A0" w:firstRow="1" w:lastRow="0" w:firstColumn="1" w:lastColumn="0" w:noHBand="0" w:noVBand="1"/>
      </w:tblPr>
      <w:tblGrid>
        <w:gridCol w:w="9016"/>
      </w:tblGrid>
      <w:tr w:rsidR="00F223B9" w:rsidRPr="00F223B9" w14:paraId="3DB4B61B" w14:textId="77777777" w:rsidTr="00FC446A">
        <w:tc>
          <w:tcPr>
            <w:tcW w:w="9016" w:type="dxa"/>
            <w:shd w:val="clear" w:color="auto" w:fill="FFC000"/>
          </w:tcPr>
          <w:p w14:paraId="699E5349" w14:textId="1CF72137" w:rsidR="00F223B9" w:rsidRDefault="00FC446A" w:rsidP="00F223B9">
            <w:pPr>
              <w:pStyle w:val="TableParagraph"/>
              <w:numPr>
                <w:ilvl w:val="0"/>
                <w:numId w:val="13"/>
              </w:numPr>
              <w:spacing w:line="265" w:lineRule="exact"/>
              <w:rPr>
                <w:b/>
                <w:color w:val="FFFFFF" w:themeColor="background1"/>
              </w:rPr>
            </w:pPr>
            <w:r>
              <w:rPr>
                <w:b/>
                <w:color w:val="FFFFFF" w:themeColor="background1"/>
              </w:rPr>
              <w:lastRenderedPageBreak/>
              <w:t>Consider e</w:t>
            </w:r>
            <w:r w:rsidR="00F223B9">
              <w:rPr>
                <w:b/>
                <w:color w:val="FFFFFF" w:themeColor="background1"/>
              </w:rPr>
              <w:t xml:space="preserve">xternal reference groups </w:t>
            </w:r>
          </w:p>
          <w:p w14:paraId="4AFF42DB" w14:textId="56A3EBEA" w:rsidR="00F223B9" w:rsidRPr="00F223B9" w:rsidRDefault="00F223B9" w:rsidP="00F223B9">
            <w:pPr>
              <w:pStyle w:val="TableParagraph"/>
              <w:spacing w:line="265" w:lineRule="exact"/>
              <w:ind w:left="107"/>
              <w:rPr>
                <w:b/>
                <w:color w:val="FFFFFF" w:themeColor="background1"/>
              </w:rPr>
            </w:pPr>
          </w:p>
        </w:tc>
      </w:tr>
      <w:tr w:rsidR="00F223B9" w14:paraId="127482D9" w14:textId="77777777" w:rsidTr="00940364">
        <w:tc>
          <w:tcPr>
            <w:tcW w:w="9016" w:type="dxa"/>
          </w:tcPr>
          <w:p w14:paraId="2BCA7487" w14:textId="414D40D3" w:rsidR="00F223B9" w:rsidRDefault="00F223B9" w:rsidP="00F223B9">
            <w:pPr>
              <w:pStyle w:val="TableParagraph"/>
              <w:numPr>
                <w:ilvl w:val="0"/>
                <w:numId w:val="10"/>
              </w:numPr>
              <w:spacing w:before="120" w:after="120"/>
              <w:ind w:right="246"/>
            </w:pPr>
            <w:r w:rsidRPr="00F223B9">
              <w:t xml:space="preserve">If your organisation is big enough, targeted use of </w:t>
            </w:r>
            <w:r>
              <w:t>external reference or work groups can facilitate stakeholder engagement</w:t>
            </w:r>
            <w:r w:rsidR="00DA1EAD">
              <w:t xml:space="preserve"> and provide valuable feedback from clients and partner organisations</w:t>
            </w:r>
            <w:r>
              <w:t>.</w:t>
            </w:r>
          </w:p>
          <w:p w14:paraId="7A1E2963" w14:textId="7E73EBEA" w:rsidR="00F223B9" w:rsidRDefault="00F223B9" w:rsidP="00F223B9">
            <w:pPr>
              <w:pStyle w:val="TableParagraph"/>
              <w:numPr>
                <w:ilvl w:val="0"/>
                <w:numId w:val="10"/>
              </w:numPr>
              <w:spacing w:before="120" w:after="120"/>
              <w:ind w:right="246"/>
            </w:pPr>
            <w:r>
              <w:t>A reference group could include clients, organisations that are key stakeholders and organisations that you are in a Joint Working Agreement with.</w:t>
            </w:r>
          </w:p>
          <w:p w14:paraId="461A99AF" w14:textId="75D3B04B" w:rsidR="00F223B9" w:rsidRDefault="00F223B9" w:rsidP="00F223B9">
            <w:pPr>
              <w:pStyle w:val="TableParagraph"/>
              <w:numPr>
                <w:ilvl w:val="0"/>
                <w:numId w:val="10"/>
              </w:numPr>
              <w:spacing w:before="120" w:after="120"/>
              <w:ind w:right="246"/>
            </w:pPr>
            <w:r>
              <w:t xml:space="preserve">Client working groups can also be an effective way of </w:t>
            </w:r>
            <w:r w:rsidR="00DA1EAD">
              <w:t xml:space="preserve">harnessing </w:t>
            </w:r>
            <w:r>
              <w:t>stakeholder engagement. For example:</w:t>
            </w:r>
          </w:p>
          <w:p w14:paraId="050A9DA3" w14:textId="78E82100" w:rsidR="00F223B9" w:rsidRDefault="00F223B9" w:rsidP="00FC446A">
            <w:pPr>
              <w:pStyle w:val="TableParagraph"/>
              <w:numPr>
                <w:ilvl w:val="0"/>
                <w:numId w:val="20"/>
              </w:numPr>
              <w:spacing w:before="120" w:after="120"/>
              <w:ind w:right="246"/>
            </w:pPr>
            <w:r>
              <w:t xml:space="preserve">An Aboriginal women’s yarning circle could design the artwork </w:t>
            </w:r>
            <w:proofErr w:type="gramStart"/>
            <w:r w:rsidR="00FC446A">
              <w:t xml:space="preserve">for </w:t>
            </w:r>
            <w:r>
              <w:t xml:space="preserve"> your</w:t>
            </w:r>
            <w:proofErr w:type="gramEnd"/>
            <w:r>
              <w:t xml:space="preserve"> ASES </w:t>
            </w:r>
            <w:r w:rsidR="00FC446A">
              <w:t xml:space="preserve">handouts and fact sheets </w:t>
            </w:r>
          </w:p>
          <w:p w14:paraId="04E394DA" w14:textId="4FE82DC0" w:rsidR="00F223B9" w:rsidRPr="00F223B9" w:rsidRDefault="00F223B9" w:rsidP="00FC446A">
            <w:pPr>
              <w:pStyle w:val="TableParagraph"/>
              <w:numPr>
                <w:ilvl w:val="0"/>
                <w:numId w:val="20"/>
              </w:numPr>
              <w:spacing w:before="120" w:after="120"/>
              <w:ind w:right="246"/>
            </w:pPr>
            <w:r>
              <w:t xml:space="preserve">Young people at a youth refuge can direct their own quality project where what matters to them in a quality service can be integrated into the ASES Project Plan.  </w:t>
            </w:r>
          </w:p>
          <w:p w14:paraId="69057C0A" w14:textId="6AAB5F94" w:rsidR="00F223B9" w:rsidRPr="00F223B9" w:rsidRDefault="00F223B9" w:rsidP="00940364">
            <w:pPr>
              <w:spacing w:before="120" w:after="120"/>
            </w:pPr>
          </w:p>
        </w:tc>
      </w:tr>
    </w:tbl>
    <w:p w14:paraId="5C704838" w14:textId="3F8E88B9" w:rsidR="00F223B9" w:rsidRDefault="00F223B9"/>
    <w:tbl>
      <w:tblPr>
        <w:tblStyle w:val="TableGrid"/>
        <w:tblW w:w="0" w:type="auto"/>
        <w:tblLook w:val="04A0" w:firstRow="1" w:lastRow="0" w:firstColumn="1" w:lastColumn="0" w:noHBand="0" w:noVBand="1"/>
      </w:tblPr>
      <w:tblGrid>
        <w:gridCol w:w="9016"/>
      </w:tblGrid>
      <w:tr w:rsidR="00EA468F" w:rsidRPr="00F223B9" w14:paraId="4114A9F3" w14:textId="77777777" w:rsidTr="00FC446A">
        <w:tc>
          <w:tcPr>
            <w:tcW w:w="9016" w:type="dxa"/>
            <w:shd w:val="clear" w:color="auto" w:fill="C00000"/>
          </w:tcPr>
          <w:p w14:paraId="6642426D" w14:textId="38E38BE2" w:rsidR="00EA468F" w:rsidRDefault="00EA468F" w:rsidP="00A516C3">
            <w:pPr>
              <w:pStyle w:val="TableParagraph"/>
              <w:numPr>
                <w:ilvl w:val="0"/>
                <w:numId w:val="13"/>
              </w:numPr>
              <w:spacing w:line="265" w:lineRule="exact"/>
              <w:rPr>
                <w:b/>
                <w:color w:val="FFFFFF" w:themeColor="background1"/>
              </w:rPr>
            </w:pPr>
            <w:r>
              <w:rPr>
                <w:b/>
                <w:color w:val="FFFFFF" w:themeColor="background1"/>
              </w:rPr>
              <w:t xml:space="preserve">Keep on track with progress </w:t>
            </w:r>
          </w:p>
          <w:p w14:paraId="16FB4863" w14:textId="77777777" w:rsidR="00EA468F" w:rsidRPr="00F223B9" w:rsidRDefault="00EA468F" w:rsidP="00A516C3">
            <w:pPr>
              <w:pStyle w:val="TableParagraph"/>
              <w:spacing w:line="265" w:lineRule="exact"/>
              <w:ind w:left="107"/>
              <w:rPr>
                <w:b/>
                <w:color w:val="FFFFFF" w:themeColor="background1"/>
              </w:rPr>
            </w:pPr>
          </w:p>
        </w:tc>
      </w:tr>
      <w:tr w:rsidR="00EA468F" w14:paraId="12CACE1C" w14:textId="77777777" w:rsidTr="00A516C3">
        <w:tc>
          <w:tcPr>
            <w:tcW w:w="9016" w:type="dxa"/>
          </w:tcPr>
          <w:p w14:paraId="47C9C666" w14:textId="77777777" w:rsidR="00EA468F" w:rsidRDefault="00EA468F" w:rsidP="00A516C3">
            <w:pPr>
              <w:pStyle w:val="TableParagraph"/>
              <w:numPr>
                <w:ilvl w:val="0"/>
                <w:numId w:val="10"/>
              </w:numPr>
              <w:spacing w:before="120" w:after="120"/>
              <w:ind w:right="246"/>
            </w:pPr>
            <w:r>
              <w:t>When you have completed your ASES Project Plan, it is important to develop a clear strategy for keeping the work moving and reaching your milestones.</w:t>
            </w:r>
          </w:p>
          <w:p w14:paraId="5E587C2E" w14:textId="6D526440" w:rsidR="00EA468F" w:rsidRDefault="00EA468F" w:rsidP="00A516C3">
            <w:pPr>
              <w:pStyle w:val="TableParagraph"/>
              <w:numPr>
                <w:ilvl w:val="0"/>
                <w:numId w:val="10"/>
              </w:numPr>
              <w:spacing w:before="120" w:after="120"/>
              <w:ind w:right="246"/>
            </w:pPr>
            <w:r>
              <w:t>Keep an eye on lags and proactively address any barriers that may arise.</w:t>
            </w:r>
          </w:p>
          <w:p w14:paraId="387C4E9C" w14:textId="6006ED33" w:rsidR="00EA468F" w:rsidRDefault="00EA468F" w:rsidP="00A516C3">
            <w:pPr>
              <w:pStyle w:val="TableParagraph"/>
              <w:numPr>
                <w:ilvl w:val="0"/>
                <w:numId w:val="10"/>
              </w:numPr>
              <w:spacing w:before="120" w:after="120"/>
              <w:ind w:right="246"/>
            </w:pPr>
            <w:r>
              <w:t xml:space="preserve">If you find that you need more time, revise your Project Plan strategies and timeframes. For this reason, it is better to start early so that if </w:t>
            </w:r>
            <w:r w:rsidR="00FC446A">
              <w:t xml:space="preserve">you </w:t>
            </w:r>
            <w:r>
              <w:t xml:space="preserve">experience delays you can still meet the funder’s requirement to submit your certificate by the 31 March 2023. </w:t>
            </w:r>
          </w:p>
          <w:p w14:paraId="50C89AA8" w14:textId="743BA56A" w:rsidR="00EA468F" w:rsidRDefault="00EA468F" w:rsidP="00A516C3">
            <w:pPr>
              <w:pStyle w:val="TableParagraph"/>
              <w:numPr>
                <w:ilvl w:val="0"/>
                <w:numId w:val="10"/>
              </w:numPr>
              <w:spacing w:before="120" w:after="120"/>
              <w:ind w:right="246"/>
            </w:pPr>
            <w:r>
              <w:t xml:space="preserve"> Find ways to keep staff motivated. Keep ASES on all meeting agendas, celebrate small successes along the way, provide lunches or morning teas for working groups and praise achievement. </w:t>
            </w:r>
          </w:p>
          <w:p w14:paraId="7E9E1CFB" w14:textId="2FD496FF" w:rsidR="00EA468F" w:rsidRPr="00F223B9" w:rsidRDefault="00EA468F" w:rsidP="00FC446A">
            <w:pPr>
              <w:pStyle w:val="TableParagraph"/>
              <w:numPr>
                <w:ilvl w:val="0"/>
                <w:numId w:val="10"/>
              </w:numPr>
              <w:spacing w:before="120" w:after="120"/>
              <w:ind w:right="246"/>
            </w:pPr>
            <w:r>
              <w:t>When it comes time to engage clients and invite them to the site visit to be interviewed</w:t>
            </w:r>
            <w:r w:rsidR="00FC446A">
              <w:t xml:space="preserve">, consider using symbolic incentives such as modest store vouchers – just take care that the incentives are not so generous that they may appear as overly inducive.  </w:t>
            </w:r>
          </w:p>
        </w:tc>
      </w:tr>
    </w:tbl>
    <w:p w14:paraId="5A1FFECB" w14:textId="187E8691" w:rsidR="00EA468F" w:rsidRDefault="00EA468F"/>
    <w:p w14:paraId="48FD33D4" w14:textId="34BA2CF9" w:rsidR="00EA468F" w:rsidRDefault="00EA468F"/>
    <w:p w14:paraId="655C27F1" w14:textId="1B754070" w:rsidR="00EA468F" w:rsidRDefault="00EA468F"/>
    <w:p w14:paraId="7C35D423" w14:textId="38183F8C" w:rsidR="00EA468F" w:rsidRDefault="00EA468F"/>
    <w:tbl>
      <w:tblPr>
        <w:tblStyle w:val="TableGrid"/>
        <w:tblW w:w="0" w:type="auto"/>
        <w:tblLook w:val="04A0" w:firstRow="1" w:lastRow="0" w:firstColumn="1" w:lastColumn="0" w:noHBand="0" w:noVBand="1"/>
      </w:tblPr>
      <w:tblGrid>
        <w:gridCol w:w="9016"/>
      </w:tblGrid>
      <w:tr w:rsidR="00F223B9" w:rsidRPr="00F223B9" w14:paraId="21EDC1B3" w14:textId="77777777" w:rsidTr="00F223B9">
        <w:tc>
          <w:tcPr>
            <w:tcW w:w="9016" w:type="dxa"/>
            <w:shd w:val="clear" w:color="auto" w:fill="660066"/>
          </w:tcPr>
          <w:p w14:paraId="4751C68E" w14:textId="50C4E4B7" w:rsidR="00F223B9" w:rsidRDefault="00F223B9" w:rsidP="00940364">
            <w:pPr>
              <w:pStyle w:val="TableParagraph"/>
              <w:numPr>
                <w:ilvl w:val="0"/>
                <w:numId w:val="13"/>
              </w:numPr>
              <w:spacing w:line="265" w:lineRule="exact"/>
              <w:rPr>
                <w:b/>
                <w:color w:val="FFFFFF" w:themeColor="background1"/>
              </w:rPr>
            </w:pPr>
            <w:r>
              <w:rPr>
                <w:b/>
                <w:color w:val="FFFFFF" w:themeColor="background1"/>
              </w:rPr>
              <w:lastRenderedPageBreak/>
              <w:t>Engage the governing body</w:t>
            </w:r>
          </w:p>
          <w:p w14:paraId="273B1DAA" w14:textId="77777777" w:rsidR="00F223B9" w:rsidRPr="00F223B9" w:rsidRDefault="00F223B9" w:rsidP="00940364">
            <w:pPr>
              <w:pStyle w:val="TableParagraph"/>
              <w:spacing w:line="265" w:lineRule="exact"/>
              <w:ind w:left="107"/>
              <w:rPr>
                <w:b/>
                <w:color w:val="FFFFFF" w:themeColor="background1"/>
              </w:rPr>
            </w:pPr>
          </w:p>
        </w:tc>
      </w:tr>
      <w:tr w:rsidR="00F223B9" w14:paraId="1682FA79" w14:textId="77777777" w:rsidTr="00940364">
        <w:tc>
          <w:tcPr>
            <w:tcW w:w="9016" w:type="dxa"/>
          </w:tcPr>
          <w:p w14:paraId="58D2B257" w14:textId="4EF46A7A" w:rsidR="00DA1EAD" w:rsidRPr="00DA1EAD" w:rsidRDefault="00DA1EAD" w:rsidP="00DA1EAD">
            <w:pPr>
              <w:pStyle w:val="ListParagraph"/>
              <w:numPr>
                <w:ilvl w:val="0"/>
                <w:numId w:val="17"/>
              </w:numPr>
              <w:spacing w:before="120" w:after="120"/>
            </w:pPr>
            <w:r w:rsidRPr="00DA1EAD">
              <w:t>The Board or Management Committee has an important role to play in ASES accreditation. As the governing body they are responsible for:</w:t>
            </w:r>
          </w:p>
          <w:p w14:paraId="3338D19B" w14:textId="53D935A1" w:rsidR="00DA1EAD" w:rsidRPr="00DA1EAD" w:rsidRDefault="00DA1EAD" w:rsidP="00DA1EAD">
            <w:pPr>
              <w:pStyle w:val="ListParagraph"/>
              <w:numPr>
                <w:ilvl w:val="0"/>
                <w:numId w:val="18"/>
              </w:numPr>
              <w:spacing w:before="120" w:after="120"/>
            </w:pPr>
            <w:r w:rsidRPr="00DA1EAD">
              <w:t>The sound governance and financial viability of the organisations as well as other roles identified in</w:t>
            </w:r>
            <w:r>
              <w:t xml:space="preserve"> </w:t>
            </w:r>
            <w:r w:rsidRPr="00DA1EAD">
              <w:t>th</w:t>
            </w:r>
            <w:r>
              <w:t>e</w:t>
            </w:r>
            <w:r w:rsidRPr="00DA1EAD">
              <w:t xml:space="preserve"> constitution</w:t>
            </w:r>
          </w:p>
          <w:p w14:paraId="076C80DD" w14:textId="4EEB47D7" w:rsidR="00DA1EAD" w:rsidRDefault="00DA1EAD" w:rsidP="00DA1EAD">
            <w:pPr>
              <w:pStyle w:val="ListParagraph"/>
              <w:numPr>
                <w:ilvl w:val="0"/>
                <w:numId w:val="18"/>
              </w:numPr>
              <w:spacing w:before="120" w:after="120"/>
            </w:pPr>
            <w:r w:rsidRPr="00DA1EAD">
              <w:t>Ensuring the organisation achieves accreditor in line with the funder’s time frames and requirements</w:t>
            </w:r>
          </w:p>
          <w:p w14:paraId="332FE197" w14:textId="71EA4F8F" w:rsidR="00DA1EAD" w:rsidRPr="00DA1EAD" w:rsidRDefault="00DA1EAD" w:rsidP="00DA1EAD">
            <w:pPr>
              <w:pStyle w:val="ListParagraph"/>
              <w:numPr>
                <w:ilvl w:val="0"/>
                <w:numId w:val="18"/>
              </w:numPr>
              <w:spacing w:before="120" w:after="120"/>
            </w:pPr>
            <w:r>
              <w:t xml:space="preserve">Ensuring the accreditation process is well planned, resourced and executed, and </w:t>
            </w:r>
          </w:p>
          <w:p w14:paraId="65917AED" w14:textId="5D2D78AD" w:rsidR="00DA1EAD" w:rsidRPr="00DA1EAD" w:rsidRDefault="00DA1EAD" w:rsidP="00DA1EAD">
            <w:pPr>
              <w:pStyle w:val="ListParagraph"/>
              <w:numPr>
                <w:ilvl w:val="0"/>
                <w:numId w:val="18"/>
              </w:numPr>
              <w:spacing w:before="120" w:after="120"/>
            </w:pPr>
            <w:r w:rsidRPr="00DA1EAD">
              <w:t>Overseeing that the ASES are consistently applied and adhered to over time.</w:t>
            </w:r>
          </w:p>
          <w:p w14:paraId="10E6CB30" w14:textId="3123638D" w:rsidR="00DA1EAD" w:rsidRDefault="00DA1EAD" w:rsidP="00DA1EAD">
            <w:pPr>
              <w:spacing w:before="120" w:after="120"/>
            </w:pPr>
            <w:r>
              <w:t xml:space="preserve">The governing body, </w:t>
            </w:r>
            <w:bookmarkStart w:id="0" w:name="_GoBack"/>
            <w:bookmarkEnd w:id="0"/>
            <w:r>
              <w:t>however</w:t>
            </w:r>
            <w:r w:rsidR="00654E59">
              <w:t>,</w:t>
            </w:r>
            <w:r>
              <w:t xml:space="preserve"> are also required specifically to comply with </w:t>
            </w:r>
            <w:r w:rsidRPr="00FC446A">
              <w:rPr>
                <w:b/>
                <w:bCs/>
              </w:rPr>
              <w:t xml:space="preserve">Standard 2.1: </w:t>
            </w:r>
            <w:r w:rsidR="00FC446A" w:rsidRPr="00FC446A">
              <w:rPr>
                <w:b/>
                <w:bCs/>
              </w:rPr>
              <w:t xml:space="preserve">Sound </w:t>
            </w:r>
            <w:r w:rsidRPr="00FC446A">
              <w:rPr>
                <w:b/>
                <w:bCs/>
              </w:rPr>
              <w:t>Governance</w:t>
            </w:r>
            <w:r w:rsidR="00EA468F">
              <w:t xml:space="preserve"> in the way that they operate as individuals and as a group. The </w:t>
            </w:r>
            <w:r>
              <w:t>Sound Governance Standard</w:t>
            </w:r>
            <w:r>
              <w:tab/>
              <w:t>(pages 8-11 in the Evidence Guide)</w:t>
            </w:r>
            <w:r w:rsidR="00EA468F">
              <w:t xml:space="preserve"> is as follows:</w:t>
            </w:r>
          </w:p>
          <w:p w14:paraId="010DA843" w14:textId="77777777" w:rsidR="00DA1EAD" w:rsidRPr="00EA468F" w:rsidRDefault="00DA1EAD" w:rsidP="00EA468F">
            <w:pPr>
              <w:pStyle w:val="ListParagraph"/>
              <w:numPr>
                <w:ilvl w:val="0"/>
                <w:numId w:val="17"/>
              </w:numPr>
              <w:spacing w:before="120" w:after="120"/>
            </w:pPr>
            <w:r w:rsidRPr="00FC446A">
              <w:rPr>
                <w:b/>
                <w:bCs/>
              </w:rPr>
              <w:t>Standard</w:t>
            </w:r>
            <w:r w:rsidRPr="00EA468F">
              <w:t>: Commitments to leadership, mutual accountability, and ethical conduct are evident.</w:t>
            </w:r>
          </w:p>
          <w:p w14:paraId="03FCD22F" w14:textId="77777777" w:rsidR="00DA1EAD" w:rsidRPr="00EA468F" w:rsidRDefault="00DA1EAD" w:rsidP="00EA468F">
            <w:pPr>
              <w:pStyle w:val="ListParagraph"/>
              <w:numPr>
                <w:ilvl w:val="0"/>
                <w:numId w:val="17"/>
              </w:numPr>
              <w:spacing w:before="120" w:after="120"/>
            </w:pPr>
            <w:r w:rsidRPr="00FC446A">
              <w:rPr>
                <w:b/>
                <w:bCs/>
              </w:rPr>
              <w:t>Outcome:</w:t>
            </w:r>
            <w:r w:rsidRPr="00EA468F">
              <w:t xml:space="preserve"> Stakeholders are confident that Governance supports long term organisational success</w:t>
            </w:r>
          </w:p>
          <w:p w14:paraId="1517FF43" w14:textId="77777777" w:rsidR="00DA1EAD" w:rsidRDefault="00DA1EAD" w:rsidP="00DA1EAD">
            <w:pPr>
              <w:spacing w:before="120" w:after="120"/>
            </w:pPr>
            <w:r>
              <w:t>2.1.1</w:t>
            </w:r>
            <w:r>
              <w:tab/>
              <w:t>Processes for appointments to the Governing Body and senior executive positions are documented.</w:t>
            </w:r>
          </w:p>
          <w:p w14:paraId="5DD4204C" w14:textId="41343D13" w:rsidR="00DA1EAD" w:rsidRDefault="00DA1EAD" w:rsidP="00DA1EAD">
            <w:pPr>
              <w:spacing w:before="120" w:after="120"/>
            </w:pPr>
            <w:r>
              <w:t>2.1.2</w:t>
            </w:r>
            <w:r>
              <w:tab/>
              <w:t>The role and responsibilities of the Governing Body have been clearly defined and a policy regarding Corporate and or Clinical Governance</w:t>
            </w:r>
            <w:r w:rsidR="00FC446A">
              <w:t>*</w:t>
            </w:r>
            <w:r>
              <w:t xml:space="preserve"> is in place.</w:t>
            </w:r>
          </w:p>
          <w:p w14:paraId="378E23C1" w14:textId="77777777" w:rsidR="00DA1EAD" w:rsidRDefault="00DA1EAD" w:rsidP="00DA1EAD">
            <w:pPr>
              <w:spacing w:before="120" w:after="120"/>
            </w:pPr>
            <w:r>
              <w:t>2.1.3</w:t>
            </w:r>
            <w:r>
              <w:tab/>
              <w:t>The Governing Body should:</w:t>
            </w:r>
          </w:p>
          <w:p w14:paraId="62FE784E" w14:textId="428667FD" w:rsidR="00DA1EAD" w:rsidRPr="00EA468F" w:rsidRDefault="00DA1EAD" w:rsidP="00EA468F">
            <w:pPr>
              <w:pStyle w:val="ListParagraph"/>
              <w:numPr>
                <w:ilvl w:val="0"/>
                <w:numId w:val="19"/>
              </w:numPr>
              <w:spacing w:before="120" w:after="120"/>
              <w:ind w:left="1185" w:hanging="357"/>
              <w:contextualSpacing w:val="0"/>
            </w:pPr>
            <w:r w:rsidRPr="00EA468F">
              <w:t>have the mix of skills required to fulfil its role</w:t>
            </w:r>
          </w:p>
          <w:p w14:paraId="575A3654" w14:textId="5660136D" w:rsidR="00DA1EAD" w:rsidRPr="00EA468F" w:rsidRDefault="00DA1EAD" w:rsidP="00EA468F">
            <w:pPr>
              <w:pStyle w:val="ListParagraph"/>
              <w:numPr>
                <w:ilvl w:val="0"/>
                <w:numId w:val="19"/>
              </w:numPr>
              <w:spacing w:before="120" w:after="120"/>
              <w:ind w:left="1185" w:hanging="357"/>
              <w:contextualSpacing w:val="0"/>
            </w:pPr>
            <w:r w:rsidRPr="00EA468F">
              <w:t>demonstrate clear understanding and commitment to the organisation’s vision, values and strategic directions</w:t>
            </w:r>
          </w:p>
          <w:p w14:paraId="3AE3273B" w14:textId="386F1E1B" w:rsidR="00DA1EAD" w:rsidRPr="00EA468F" w:rsidRDefault="00DA1EAD" w:rsidP="00EA468F">
            <w:pPr>
              <w:pStyle w:val="ListParagraph"/>
              <w:numPr>
                <w:ilvl w:val="0"/>
                <w:numId w:val="19"/>
              </w:numPr>
              <w:spacing w:before="120" w:after="120"/>
              <w:ind w:left="1185" w:hanging="357"/>
              <w:contextualSpacing w:val="0"/>
            </w:pPr>
            <w:r w:rsidRPr="00EA468F">
              <w:t>understand and comply with relevant statutory obligations</w:t>
            </w:r>
          </w:p>
          <w:p w14:paraId="3764DFCC" w14:textId="2DB6C4F3" w:rsidR="00DA1EAD" w:rsidRPr="00EA468F" w:rsidRDefault="00DA1EAD" w:rsidP="00EA468F">
            <w:pPr>
              <w:pStyle w:val="ListParagraph"/>
              <w:numPr>
                <w:ilvl w:val="0"/>
                <w:numId w:val="19"/>
              </w:numPr>
              <w:spacing w:before="120" w:after="120"/>
              <w:ind w:left="1185" w:hanging="357"/>
              <w:contextualSpacing w:val="0"/>
            </w:pPr>
            <w:r w:rsidRPr="00EA468F">
              <w:t>recognise when you need to seek external advice</w:t>
            </w:r>
          </w:p>
          <w:p w14:paraId="3E5702B2" w14:textId="77777777" w:rsidR="00F223B9" w:rsidRDefault="00DA1EAD" w:rsidP="00EA468F">
            <w:pPr>
              <w:pStyle w:val="ListParagraph"/>
              <w:numPr>
                <w:ilvl w:val="0"/>
                <w:numId w:val="19"/>
              </w:numPr>
              <w:spacing w:before="120" w:after="120"/>
              <w:ind w:left="1185" w:hanging="357"/>
              <w:contextualSpacing w:val="0"/>
            </w:pPr>
            <w:r w:rsidRPr="00EA468F">
              <w:t>undertake induction for Board members.</w:t>
            </w:r>
          </w:p>
          <w:p w14:paraId="09E5BEBE" w14:textId="77777777" w:rsidR="00EA468F" w:rsidRDefault="00EA468F" w:rsidP="00EA468F">
            <w:pPr>
              <w:spacing w:before="120" w:after="120"/>
            </w:pPr>
            <w:r>
              <w:t xml:space="preserve">The governing body and the CEO/Service Manager needs to ensure that all of these requirements are fully met. </w:t>
            </w:r>
          </w:p>
          <w:p w14:paraId="770F06C0" w14:textId="362C9B32" w:rsidR="00FC446A" w:rsidRPr="00EA468F" w:rsidRDefault="00FC446A" w:rsidP="00EA468F">
            <w:pPr>
              <w:spacing w:before="120" w:after="120"/>
            </w:pPr>
            <w:r>
              <w:t>*If your service does not provide ‘clinical work’ this requirement still applies – it means that there is a clear definition between the governing role of the Board/Committee and the operational role of the CEO and staff.</w:t>
            </w:r>
          </w:p>
        </w:tc>
      </w:tr>
    </w:tbl>
    <w:p w14:paraId="39CFBE36" w14:textId="77777777" w:rsidR="00F223B9" w:rsidRDefault="00F223B9" w:rsidP="00F223B9"/>
    <w:sectPr w:rsidR="00F223B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B503C" w14:textId="77777777" w:rsidR="000917B1" w:rsidRDefault="000917B1" w:rsidP="00626FBD">
      <w:pPr>
        <w:spacing w:after="0" w:line="240" w:lineRule="auto"/>
      </w:pPr>
      <w:r>
        <w:separator/>
      </w:r>
    </w:p>
  </w:endnote>
  <w:endnote w:type="continuationSeparator" w:id="0">
    <w:p w14:paraId="170246EA" w14:textId="77777777" w:rsidR="000917B1" w:rsidRDefault="000917B1" w:rsidP="00626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2" w:type="pct"/>
      <w:shd w:val="clear" w:color="auto" w:fill="4472C4" w:themeFill="accent1"/>
      <w:tblCellMar>
        <w:left w:w="115" w:type="dxa"/>
        <w:right w:w="115" w:type="dxa"/>
      </w:tblCellMar>
      <w:tblLook w:val="04A0" w:firstRow="1" w:lastRow="0" w:firstColumn="1" w:lastColumn="0" w:noHBand="0" w:noVBand="1"/>
    </w:tblPr>
    <w:tblGrid>
      <w:gridCol w:w="1134"/>
      <w:gridCol w:w="7535"/>
      <w:gridCol w:w="361"/>
    </w:tblGrid>
    <w:tr w:rsidR="00626FBD" w:rsidRPr="002C7035" w14:paraId="0A829521" w14:textId="77777777" w:rsidTr="00626FBD">
      <w:trPr>
        <w:trHeight w:val="510"/>
      </w:trPr>
      <w:tc>
        <w:tcPr>
          <w:tcW w:w="628" w:type="pct"/>
          <w:shd w:val="clear" w:color="auto" w:fill="1F3864" w:themeFill="accent1" w:themeFillShade="80"/>
          <w:tcMar>
            <w:left w:w="57" w:type="dxa"/>
            <w:right w:w="57" w:type="dxa"/>
          </w:tcMar>
          <w:vAlign w:val="center"/>
        </w:tcPr>
        <w:p w14:paraId="71A00B41" w14:textId="7AFFF72E" w:rsidR="00626FBD" w:rsidRPr="002C7035" w:rsidRDefault="00626FBD" w:rsidP="00626FBD">
          <w:pPr>
            <w:pStyle w:val="Footer"/>
            <w:spacing w:before="80" w:after="80"/>
            <w:rPr>
              <w:rFonts w:ascii="Arial" w:hAnsi="Arial" w:cs="Arial"/>
              <w:caps/>
              <w:color w:val="FFFFFF" w:themeColor="background1"/>
              <w:sz w:val="18"/>
              <w:szCs w:val="18"/>
            </w:rPr>
          </w:pPr>
        </w:p>
      </w:tc>
      <w:tc>
        <w:tcPr>
          <w:tcW w:w="4172" w:type="pct"/>
          <w:shd w:val="clear" w:color="auto" w:fill="1F3864" w:themeFill="accent1" w:themeFillShade="80"/>
          <w:tcMar>
            <w:left w:w="0" w:type="dxa"/>
            <w:right w:w="0" w:type="dxa"/>
          </w:tcMar>
          <w:vAlign w:val="center"/>
        </w:tcPr>
        <w:p w14:paraId="23DCA8A9" w14:textId="48BA9DAA" w:rsidR="00626FBD" w:rsidRPr="002C7035" w:rsidRDefault="00626FBD" w:rsidP="00626FBD">
          <w:pPr>
            <w:pStyle w:val="Footer"/>
            <w:rPr>
              <w:rFonts w:ascii="Arial" w:hAnsi="Arial" w:cs="Arial"/>
              <w:caps/>
              <w:color w:val="FFFFFF" w:themeColor="background1"/>
              <w:sz w:val="18"/>
              <w:szCs w:val="18"/>
            </w:rPr>
          </w:pPr>
        </w:p>
      </w:tc>
      <w:tc>
        <w:tcPr>
          <w:tcW w:w="200" w:type="pct"/>
          <w:shd w:val="clear" w:color="auto" w:fill="1F3864" w:themeFill="accent1" w:themeFillShade="80"/>
          <w:tcMar>
            <w:left w:w="0" w:type="dxa"/>
            <w:right w:w="57" w:type="dxa"/>
          </w:tcMar>
          <w:vAlign w:val="center"/>
        </w:tcPr>
        <w:p w14:paraId="633F3289" w14:textId="77777777" w:rsidR="00626FBD" w:rsidRPr="002C7035" w:rsidRDefault="00626FBD" w:rsidP="00626FBD">
          <w:pPr>
            <w:pStyle w:val="Footer"/>
            <w:jc w:val="right"/>
            <w:rPr>
              <w:rFonts w:ascii="Arial" w:hAnsi="Arial" w:cs="Arial"/>
              <w:caps/>
              <w:color w:val="FFFFFF" w:themeColor="background1"/>
              <w:sz w:val="18"/>
              <w:szCs w:val="18"/>
            </w:rPr>
          </w:pPr>
          <w:r w:rsidRPr="002C7035">
            <w:rPr>
              <w:rFonts w:ascii="Arial" w:hAnsi="Arial" w:cs="Arial"/>
              <w:caps/>
              <w:color w:val="FFFFFF" w:themeColor="background1"/>
              <w:sz w:val="18"/>
              <w:szCs w:val="18"/>
            </w:rPr>
            <w:fldChar w:fldCharType="begin"/>
          </w:r>
          <w:r w:rsidRPr="002C7035">
            <w:rPr>
              <w:rFonts w:ascii="Arial" w:hAnsi="Arial" w:cs="Arial"/>
              <w:caps/>
              <w:color w:val="FFFFFF" w:themeColor="background1"/>
              <w:sz w:val="18"/>
              <w:szCs w:val="18"/>
            </w:rPr>
            <w:instrText xml:space="preserve"> PAGE   \* MERGEFORMAT </w:instrText>
          </w:r>
          <w:r w:rsidRPr="002C7035">
            <w:rPr>
              <w:rFonts w:ascii="Arial" w:hAnsi="Arial" w:cs="Arial"/>
              <w:caps/>
              <w:color w:val="FFFFFF" w:themeColor="background1"/>
              <w:sz w:val="18"/>
              <w:szCs w:val="18"/>
            </w:rPr>
            <w:fldChar w:fldCharType="separate"/>
          </w:r>
          <w:r w:rsidRPr="002C7035">
            <w:rPr>
              <w:rFonts w:ascii="Arial" w:hAnsi="Arial" w:cs="Arial"/>
              <w:caps/>
              <w:noProof/>
              <w:color w:val="FFFFFF" w:themeColor="background1"/>
              <w:sz w:val="18"/>
              <w:szCs w:val="18"/>
            </w:rPr>
            <w:t>1</w:t>
          </w:r>
          <w:r w:rsidRPr="002C7035">
            <w:rPr>
              <w:rFonts w:ascii="Arial" w:hAnsi="Arial" w:cs="Arial"/>
              <w:caps/>
              <w:noProof/>
              <w:color w:val="FFFFFF" w:themeColor="background1"/>
              <w:sz w:val="18"/>
              <w:szCs w:val="18"/>
            </w:rPr>
            <w:fldChar w:fldCharType="end"/>
          </w:r>
        </w:p>
      </w:tc>
    </w:tr>
  </w:tbl>
  <w:p w14:paraId="2CC0CB36" w14:textId="77777777" w:rsidR="00626FBD" w:rsidRDefault="00626F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7FD35" w14:textId="77777777" w:rsidR="000917B1" w:rsidRDefault="000917B1" w:rsidP="00626FBD">
      <w:pPr>
        <w:spacing w:after="0" w:line="240" w:lineRule="auto"/>
      </w:pPr>
      <w:r>
        <w:separator/>
      </w:r>
    </w:p>
  </w:footnote>
  <w:footnote w:type="continuationSeparator" w:id="0">
    <w:p w14:paraId="1B5B82B3" w14:textId="77777777" w:rsidR="000917B1" w:rsidRDefault="000917B1" w:rsidP="00626F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4"/>
      <w:gridCol w:w="4152"/>
    </w:tblGrid>
    <w:tr w:rsidR="00626FBD" w:rsidRPr="003149EA" w14:paraId="052E6468" w14:textId="77777777" w:rsidTr="00940364">
      <w:tc>
        <w:tcPr>
          <w:tcW w:w="5245" w:type="dxa"/>
        </w:tcPr>
        <w:p w14:paraId="38CF683D" w14:textId="196914AA" w:rsidR="00626FBD" w:rsidRPr="003149EA" w:rsidRDefault="00276917" w:rsidP="00626FBD">
          <w:pPr>
            <w:pStyle w:val="Header"/>
            <w:tabs>
              <w:tab w:val="clear" w:pos="4513"/>
              <w:tab w:val="clear" w:pos="9026"/>
            </w:tabs>
            <w:ind w:left="57" w:firstLine="57"/>
            <w:rPr>
              <w:color w:val="002060"/>
              <w:sz w:val="28"/>
              <w:szCs w:val="28"/>
            </w:rPr>
          </w:pPr>
          <w:r>
            <w:rPr>
              <w:noProof/>
            </w:rPr>
            <w:drawing>
              <wp:inline distT="0" distB="0" distL="0" distR="0" wp14:anchorId="6F4A87B6" wp14:editId="194535AC">
                <wp:extent cx="390525" cy="70485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525" cy="704850"/>
                        </a:xfrm>
                        <a:prstGeom prst="rect">
                          <a:avLst/>
                        </a:prstGeom>
                        <a:noFill/>
                        <a:ln>
                          <a:noFill/>
                        </a:ln>
                      </pic:spPr>
                    </pic:pic>
                  </a:graphicData>
                </a:graphic>
              </wp:inline>
            </w:drawing>
          </w:r>
        </w:p>
      </w:tc>
      <w:tc>
        <w:tcPr>
          <w:tcW w:w="4178" w:type="dxa"/>
          <w:vAlign w:val="center"/>
        </w:tcPr>
        <w:p w14:paraId="07DEB0B9" w14:textId="77777777" w:rsidR="00626FBD" w:rsidRPr="003149EA" w:rsidRDefault="00626FBD" w:rsidP="00626FBD">
          <w:pPr>
            <w:pStyle w:val="Header"/>
            <w:tabs>
              <w:tab w:val="clear" w:pos="4513"/>
              <w:tab w:val="clear" w:pos="9026"/>
            </w:tabs>
            <w:ind w:right="57"/>
            <w:jc w:val="right"/>
            <w:rPr>
              <w:color w:val="002060"/>
              <w:sz w:val="18"/>
              <w:szCs w:val="18"/>
            </w:rPr>
          </w:pPr>
          <w:r w:rsidRPr="003149EA">
            <w:rPr>
              <w:noProof/>
              <w:color w:val="002060"/>
              <w:sz w:val="18"/>
              <w:szCs w:val="18"/>
            </w:rPr>
            <w:drawing>
              <wp:inline distT="0" distB="0" distL="0" distR="0" wp14:anchorId="446F3261" wp14:editId="78EC953E">
                <wp:extent cx="2289266" cy="568258"/>
                <wp:effectExtent l="0" t="0" r="0" b="381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2">
                          <a:extLst>
                            <a:ext uri="{28A0092B-C50C-407E-A947-70E740481C1C}">
                              <a14:useLocalDpi xmlns:a14="http://schemas.microsoft.com/office/drawing/2010/main"/>
                            </a:ext>
                          </a:extLst>
                        </a:blip>
                        <a:srcRect/>
                        <a:stretch>
                          <a:fillRect/>
                        </a:stretch>
                      </pic:blipFill>
                      <pic:spPr bwMode="auto">
                        <a:xfrm>
                          <a:off x="0" y="0"/>
                          <a:ext cx="2289266" cy="56825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tc>
    </w:tr>
    <w:tr w:rsidR="00626FBD" w:rsidRPr="00DE3909" w14:paraId="118E2005" w14:textId="77777777" w:rsidTr="00940364">
      <w:tc>
        <w:tcPr>
          <w:tcW w:w="9423" w:type="dxa"/>
          <w:gridSpan w:val="2"/>
        </w:tcPr>
        <w:p w14:paraId="01E79882" w14:textId="77777777" w:rsidR="00626FBD" w:rsidRDefault="00626FBD" w:rsidP="00626FBD">
          <w:pPr>
            <w:pStyle w:val="Header"/>
            <w:tabs>
              <w:tab w:val="clear" w:pos="4513"/>
              <w:tab w:val="clear" w:pos="9026"/>
            </w:tabs>
            <w:ind w:left="57" w:firstLine="57"/>
            <w:jc w:val="center"/>
            <w:rPr>
              <w:rFonts w:cstheme="minorHAnsi"/>
              <w:i/>
              <w:iCs/>
              <w:color w:val="002060"/>
              <w:sz w:val="20"/>
              <w:szCs w:val="20"/>
            </w:rPr>
          </w:pPr>
          <w:r w:rsidRPr="00DE3909">
            <w:rPr>
              <w:rFonts w:cstheme="minorHAnsi"/>
              <w:color w:val="002060"/>
              <w:sz w:val="20"/>
              <w:szCs w:val="20"/>
            </w:rPr>
            <w:t>NSW Specialist Homelessness Services: Q</w:t>
          </w:r>
          <w:r w:rsidRPr="00DE3909">
            <w:rPr>
              <w:rFonts w:cstheme="minorHAnsi"/>
              <w:i/>
              <w:iCs/>
              <w:color w:val="002060"/>
              <w:sz w:val="20"/>
              <w:szCs w:val="20"/>
            </w:rPr>
            <w:t>uality Standards Implementation Resource Kit</w:t>
          </w:r>
        </w:p>
        <w:p w14:paraId="5FCE89ED" w14:textId="7E45581C" w:rsidR="00F223B9" w:rsidRPr="00DE3909" w:rsidRDefault="00F223B9" w:rsidP="00626FBD">
          <w:pPr>
            <w:pStyle w:val="Header"/>
            <w:tabs>
              <w:tab w:val="clear" w:pos="4513"/>
              <w:tab w:val="clear" w:pos="9026"/>
            </w:tabs>
            <w:ind w:left="57" w:firstLine="57"/>
            <w:jc w:val="center"/>
            <w:rPr>
              <w:rFonts w:cstheme="minorHAnsi"/>
              <w:noProof/>
              <w:color w:val="002060"/>
              <w:sz w:val="18"/>
              <w:szCs w:val="18"/>
            </w:rPr>
          </w:pPr>
          <w:r>
            <w:rPr>
              <w:rFonts w:cstheme="minorHAnsi"/>
              <w:color w:val="002060"/>
              <w:sz w:val="20"/>
              <w:szCs w:val="20"/>
            </w:rPr>
            <w:t>Handout</w:t>
          </w:r>
        </w:p>
      </w:tc>
    </w:tr>
  </w:tbl>
  <w:p w14:paraId="37E8D795" w14:textId="77777777" w:rsidR="00626FBD" w:rsidRDefault="00626FBD" w:rsidP="00626F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2pt;height:12pt" o:bullet="t">
        <v:imagedata r:id="rId1" o:title="mso2F5A"/>
      </v:shape>
    </w:pict>
  </w:numPicBullet>
  <w:abstractNum w:abstractNumId="0" w15:restartNumberingAfterBreak="0">
    <w:nsid w:val="07AD2B25"/>
    <w:multiLevelType w:val="hybridMultilevel"/>
    <w:tmpl w:val="AB80DA2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A34181E"/>
    <w:multiLevelType w:val="hybridMultilevel"/>
    <w:tmpl w:val="C33A3F8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A51B07"/>
    <w:multiLevelType w:val="hybridMultilevel"/>
    <w:tmpl w:val="584010F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54D56AF"/>
    <w:multiLevelType w:val="hybridMultilevel"/>
    <w:tmpl w:val="9EB85FA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640EFA"/>
    <w:multiLevelType w:val="hybridMultilevel"/>
    <w:tmpl w:val="942606F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71695A"/>
    <w:multiLevelType w:val="hybridMultilevel"/>
    <w:tmpl w:val="D2EE73A6"/>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EE66BC"/>
    <w:multiLevelType w:val="hybridMultilevel"/>
    <w:tmpl w:val="0AE4198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2AD71A3"/>
    <w:multiLevelType w:val="hybridMultilevel"/>
    <w:tmpl w:val="9A227F24"/>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8F285B"/>
    <w:multiLevelType w:val="hybridMultilevel"/>
    <w:tmpl w:val="E4E82E64"/>
    <w:lvl w:ilvl="0" w:tplc="31A28A06">
      <w:numFmt w:val="bullet"/>
      <w:lvlText w:val=""/>
      <w:lvlJc w:val="left"/>
      <w:pPr>
        <w:ind w:left="559" w:hanging="272"/>
      </w:pPr>
      <w:rPr>
        <w:rFonts w:ascii="Symbol" w:eastAsia="Symbol" w:hAnsi="Symbol" w:cs="Symbol" w:hint="default"/>
        <w:w w:val="100"/>
        <w:sz w:val="22"/>
        <w:szCs w:val="22"/>
        <w:lang w:val="en-US" w:eastAsia="en-US" w:bidi="en-US"/>
      </w:rPr>
    </w:lvl>
    <w:lvl w:ilvl="1" w:tplc="925086CC">
      <w:numFmt w:val="bullet"/>
      <w:lvlText w:val="•"/>
      <w:lvlJc w:val="left"/>
      <w:pPr>
        <w:ind w:left="1037" w:hanging="272"/>
      </w:pPr>
      <w:rPr>
        <w:rFonts w:hint="default"/>
        <w:lang w:val="en-US" w:eastAsia="en-US" w:bidi="en-US"/>
      </w:rPr>
    </w:lvl>
    <w:lvl w:ilvl="2" w:tplc="E1AAE4E4">
      <w:numFmt w:val="bullet"/>
      <w:lvlText w:val="•"/>
      <w:lvlJc w:val="left"/>
      <w:pPr>
        <w:ind w:left="1514" w:hanging="272"/>
      </w:pPr>
      <w:rPr>
        <w:rFonts w:hint="default"/>
        <w:lang w:val="en-US" w:eastAsia="en-US" w:bidi="en-US"/>
      </w:rPr>
    </w:lvl>
    <w:lvl w:ilvl="3" w:tplc="AD9A8936">
      <w:numFmt w:val="bullet"/>
      <w:lvlText w:val="•"/>
      <w:lvlJc w:val="left"/>
      <w:pPr>
        <w:ind w:left="1991" w:hanging="272"/>
      </w:pPr>
      <w:rPr>
        <w:rFonts w:hint="default"/>
        <w:lang w:val="en-US" w:eastAsia="en-US" w:bidi="en-US"/>
      </w:rPr>
    </w:lvl>
    <w:lvl w:ilvl="4" w:tplc="666E0442">
      <w:numFmt w:val="bullet"/>
      <w:lvlText w:val="•"/>
      <w:lvlJc w:val="left"/>
      <w:pPr>
        <w:ind w:left="2469" w:hanging="272"/>
      </w:pPr>
      <w:rPr>
        <w:rFonts w:hint="default"/>
        <w:lang w:val="en-US" w:eastAsia="en-US" w:bidi="en-US"/>
      </w:rPr>
    </w:lvl>
    <w:lvl w:ilvl="5" w:tplc="C102ECD8">
      <w:numFmt w:val="bullet"/>
      <w:lvlText w:val="•"/>
      <w:lvlJc w:val="left"/>
      <w:pPr>
        <w:ind w:left="2946" w:hanging="272"/>
      </w:pPr>
      <w:rPr>
        <w:rFonts w:hint="default"/>
        <w:lang w:val="en-US" w:eastAsia="en-US" w:bidi="en-US"/>
      </w:rPr>
    </w:lvl>
    <w:lvl w:ilvl="6" w:tplc="C304E158">
      <w:numFmt w:val="bullet"/>
      <w:lvlText w:val="•"/>
      <w:lvlJc w:val="left"/>
      <w:pPr>
        <w:ind w:left="3423" w:hanging="272"/>
      </w:pPr>
      <w:rPr>
        <w:rFonts w:hint="default"/>
        <w:lang w:val="en-US" w:eastAsia="en-US" w:bidi="en-US"/>
      </w:rPr>
    </w:lvl>
    <w:lvl w:ilvl="7" w:tplc="6AD03AAC">
      <w:numFmt w:val="bullet"/>
      <w:lvlText w:val="•"/>
      <w:lvlJc w:val="left"/>
      <w:pPr>
        <w:ind w:left="3901" w:hanging="272"/>
      </w:pPr>
      <w:rPr>
        <w:rFonts w:hint="default"/>
        <w:lang w:val="en-US" w:eastAsia="en-US" w:bidi="en-US"/>
      </w:rPr>
    </w:lvl>
    <w:lvl w:ilvl="8" w:tplc="457AD9B0">
      <w:numFmt w:val="bullet"/>
      <w:lvlText w:val="•"/>
      <w:lvlJc w:val="left"/>
      <w:pPr>
        <w:ind w:left="4378" w:hanging="272"/>
      </w:pPr>
      <w:rPr>
        <w:rFonts w:hint="default"/>
        <w:lang w:val="en-US" w:eastAsia="en-US" w:bidi="en-US"/>
      </w:rPr>
    </w:lvl>
  </w:abstractNum>
  <w:abstractNum w:abstractNumId="9" w15:restartNumberingAfterBreak="0">
    <w:nsid w:val="37EF00C1"/>
    <w:multiLevelType w:val="hybridMultilevel"/>
    <w:tmpl w:val="668C74E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8606A22"/>
    <w:multiLevelType w:val="multilevel"/>
    <w:tmpl w:val="783065B6"/>
    <w:lvl w:ilvl="0">
      <w:start w:val="1"/>
      <w:numFmt w:val="decimal"/>
      <w:pStyle w:val="Heading1"/>
      <w:lvlText w:val="%1."/>
      <w:lvlJc w:val="left"/>
      <w:pPr>
        <w:ind w:left="1494" w:hanging="360"/>
      </w:pPr>
    </w:lvl>
    <w:lvl w:ilvl="1">
      <w:start w:val="1"/>
      <w:numFmt w:val="decimal"/>
      <w:pStyle w:val="Heading2"/>
      <w:lvlText w:val="%1.%2."/>
      <w:lvlJc w:val="left"/>
      <w:pPr>
        <w:ind w:left="1926" w:hanging="432"/>
      </w:pPr>
    </w:lvl>
    <w:lvl w:ilvl="2">
      <w:start w:val="1"/>
      <w:numFmt w:val="decimal"/>
      <w:pStyle w:val="Heading3"/>
      <w:lvlText w:val="%1.%2.%3."/>
      <w:lvlJc w:val="left"/>
      <w:pPr>
        <w:ind w:left="2358" w:hanging="504"/>
      </w:pPr>
    </w:lvl>
    <w:lvl w:ilvl="3">
      <w:start w:val="1"/>
      <w:numFmt w:val="decimal"/>
      <w:pStyle w:val="Heading4"/>
      <w:lvlText w:val="%1.%2.%3.%4."/>
      <w:lvlJc w:val="left"/>
      <w:pPr>
        <w:ind w:left="2862" w:hanging="648"/>
      </w:pPr>
    </w:lvl>
    <w:lvl w:ilvl="4">
      <w:start w:val="1"/>
      <w:numFmt w:val="decimal"/>
      <w:lvlText w:val="%1.%2.%3.%4.%5."/>
      <w:lvlJc w:val="left"/>
      <w:pPr>
        <w:ind w:left="3366" w:hanging="792"/>
      </w:pPr>
    </w:lvl>
    <w:lvl w:ilvl="5">
      <w:start w:val="1"/>
      <w:numFmt w:val="decimal"/>
      <w:lvlText w:val="%1.%2.%3.%4.%5.%6."/>
      <w:lvlJc w:val="left"/>
      <w:pPr>
        <w:ind w:left="3870" w:hanging="936"/>
      </w:pPr>
    </w:lvl>
    <w:lvl w:ilvl="6">
      <w:start w:val="1"/>
      <w:numFmt w:val="decimal"/>
      <w:lvlText w:val="%1.%2.%3.%4.%5.%6.%7."/>
      <w:lvlJc w:val="left"/>
      <w:pPr>
        <w:ind w:left="4374" w:hanging="1080"/>
      </w:pPr>
    </w:lvl>
    <w:lvl w:ilvl="7">
      <w:start w:val="1"/>
      <w:numFmt w:val="decimal"/>
      <w:lvlText w:val="%1.%2.%3.%4.%5.%6.%7.%8."/>
      <w:lvlJc w:val="left"/>
      <w:pPr>
        <w:ind w:left="4878" w:hanging="1224"/>
      </w:pPr>
    </w:lvl>
    <w:lvl w:ilvl="8">
      <w:start w:val="1"/>
      <w:numFmt w:val="decimal"/>
      <w:lvlText w:val="%1.%2.%3.%4.%5.%6.%7.%8.%9."/>
      <w:lvlJc w:val="left"/>
      <w:pPr>
        <w:ind w:left="5454" w:hanging="1440"/>
      </w:pPr>
    </w:lvl>
  </w:abstractNum>
  <w:abstractNum w:abstractNumId="11" w15:restartNumberingAfterBreak="0">
    <w:nsid w:val="40623CE2"/>
    <w:multiLevelType w:val="hybridMultilevel"/>
    <w:tmpl w:val="33C44B34"/>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B3D14D3"/>
    <w:multiLevelType w:val="hybridMultilevel"/>
    <w:tmpl w:val="4CBEA12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B5A4347"/>
    <w:multiLevelType w:val="hybridMultilevel"/>
    <w:tmpl w:val="98EE4766"/>
    <w:lvl w:ilvl="0" w:tplc="0C090007">
      <w:start w:val="1"/>
      <w:numFmt w:val="bullet"/>
      <w:lvlText w:val=""/>
      <w:lvlPicBulletId w:val="0"/>
      <w:lvlJc w:val="left"/>
      <w:pPr>
        <w:ind w:left="559" w:hanging="272"/>
      </w:pPr>
      <w:rPr>
        <w:rFonts w:ascii="Symbol" w:hAnsi="Symbol" w:hint="default"/>
        <w:w w:val="100"/>
        <w:sz w:val="22"/>
        <w:szCs w:val="22"/>
        <w:lang w:val="en-US" w:eastAsia="en-US" w:bidi="en-US"/>
      </w:rPr>
    </w:lvl>
    <w:lvl w:ilvl="1" w:tplc="E2289BAC">
      <w:numFmt w:val="bullet"/>
      <w:lvlText w:val="•"/>
      <w:lvlJc w:val="left"/>
      <w:pPr>
        <w:ind w:left="1037" w:hanging="272"/>
      </w:pPr>
      <w:rPr>
        <w:rFonts w:hint="default"/>
        <w:lang w:val="en-US" w:eastAsia="en-US" w:bidi="en-US"/>
      </w:rPr>
    </w:lvl>
    <w:lvl w:ilvl="2" w:tplc="91641932">
      <w:numFmt w:val="bullet"/>
      <w:lvlText w:val="•"/>
      <w:lvlJc w:val="left"/>
      <w:pPr>
        <w:ind w:left="1514" w:hanging="272"/>
      </w:pPr>
      <w:rPr>
        <w:rFonts w:hint="default"/>
        <w:lang w:val="en-US" w:eastAsia="en-US" w:bidi="en-US"/>
      </w:rPr>
    </w:lvl>
    <w:lvl w:ilvl="3" w:tplc="0646E9AA">
      <w:numFmt w:val="bullet"/>
      <w:lvlText w:val="•"/>
      <w:lvlJc w:val="left"/>
      <w:pPr>
        <w:ind w:left="1991" w:hanging="272"/>
      </w:pPr>
      <w:rPr>
        <w:rFonts w:hint="default"/>
        <w:lang w:val="en-US" w:eastAsia="en-US" w:bidi="en-US"/>
      </w:rPr>
    </w:lvl>
    <w:lvl w:ilvl="4" w:tplc="ABBAA978">
      <w:numFmt w:val="bullet"/>
      <w:lvlText w:val="•"/>
      <w:lvlJc w:val="left"/>
      <w:pPr>
        <w:ind w:left="2469" w:hanging="272"/>
      </w:pPr>
      <w:rPr>
        <w:rFonts w:hint="default"/>
        <w:lang w:val="en-US" w:eastAsia="en-US" w:bidi="en-US"/>
      </w:rPr>
    </w:lvl>
    <w:lvl w:ilvl="5" w:tplc="087E2052">
      <w:numFmt w:val="bullet"/>
      <w:lvlText w:val="•"/>
      <w:lvlJc w:val="left"/>
      <w:pPr>
        <w:ind w:left="2946" w:hanging="272"/>
      </w:pPr>
      <w:rPr>
        <w:rFonts w:hint="default"/>
        <w:lang w:val="en-US" w:eastAsia="en-US" w:bidi="en-US"/>
      </w:rPr>
    </w:lvl>
    <w:lvl w:ilvl="6" w:tplc="5288BAE2">
      <w:numFmt w:val="bullet"/>
      <w:lvlText w:val="•"/>
      <w:lvlJc w:val="left"/>
      <w:pPr>
        <w:ind w:left="3423" w:hanging="272"/>
      </w:pPr>
      <w:rPr>
        <w:rFonts w:hint="default"/>
        <w:lang w:val="en-US" w:eastAsia="en-US" w:bidi="en-US"/>
      </w:rPr>
    </w:lvl>
    <w:lvl w:ilvl="7" w:tplc="F8B623B4">
      <w:numFmt w:val="bullet"/>
      <w:lvlText w:val="•"/>
      <w:lvlJc w:val="left"/>
      <w:pPr>
        <w:ind w:left="3901" w:hanging="272"/>
      </w:pPr>
      <w:rPr>
        <w:rFonts w:hint="default"/>
        <w:lang w:val="en-US" w:eastAsia="en-US" w:bidi="en-US"/>
      </w:rPr>
    </w:lvl>
    <w:lvl w:ilvl="8" w:tplc="FB78E7CE">
      <w:numFmt w:val="bullet"/>
      <w:lvlText w:val="•"/>
      <w:lvlJc w:val="left"/>
      <w:pPr>
        <w:ind w:left="4378" w:hanging="272"/>
      </w:pPr>
      <w:rPr>
        <w:rFonts w:hint="default"/>
        <w:lang w:val="en-US" w:eastAsia="en-US" w:bidi="en-US"/>
      </w:rPr>
    </w:lvl>
  </w:abstractNum>
  <w:abstractNum w:abstractNumId="14" w15:restartNumberingAfterBreak="0">
    <w:nsid w:val="663B402C"/>
    <w:multiLevelType w:val="hybridMultilevel"/>
    <w:tmpl w:val="4F280DB4"/>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7422557"/>
    <w:multiLevelType w:val="hybridMultilevel"/>
    <w:tmpl w:val="85347FB4"/>
    <w:lvl w:ilvl="0" w:tplc="0C09000F">
      <w:start w:val="1"/>
      <w:numFmt w:val="decimal"/>
      <w:lvlText w:val="%1."/>
      <w:lvlJc w:val="left"/>
      <w:pPr>
        <w:ind w:left="827" w:hanging="360"/>
      </w:pPr>
    </w:lvl>
    <w:lvl w:ilvl="1" w:tplc="0C090019" w:tentative="1">
      <w:start w:val="1"/>
      <w:numFmt w:val="lowerLetter"/>
      <w:lvlText w:val="%2."/>
      <w:lvlJc w:val="left"/>
      <w:pPr>
        <w:ind w:left="1547" w:hanging="360"/>
      </w:pPr>
    </w:lvl>
    <w:lvl w:ilvl="2" w:tplc="0C09001B" w:tentative="1">
      <w:start w:val="1"/>
      <w:numFmt w:val="lowerRoman"/>
      <w:lvlText w:val="%3."/>
      <w:lvlJc w:val="right"/>
      <w:pPr>
        <w:ind w:left="2267" w:hanging="180"/>
      </w:pPr>
    </w:lvl>
    <w:lvl w:ilvl="3" w:tplc="0C09000F" w:tentative="1">
      <w:start w:val="1"/>
      <w:numFmt w:val="decimal"/>
      <w:lvlText w:val="%4."/>
      <w:lvlJc w:val="left"/>
      <w:pPr>
        <w:ind w:left="2987" w:hanging="360"/>
      </w:pPr>
    </w:lvl>
    <w:lvl w:ilvl="4" w:tplc="0C090019" w:tentative="1">
      <w:start w:val="1"/>
      <w:numFmt w:val="lowerLetter"/>
      <w:lvlText w:val="%5."/>
      <w:lvlJc w:val="left"/>
      <w:pPr>
        <w:ind w:left="3707" w:hanging="360"/>
      </w:pPr>
    </w:lvl>
    <w:lvl w:ilvl="5" w:tplc="0C09001B" w:tentative="1">
      <w:start w:val="1"/>
      <w:numFmt w:val="lowerRoman"/>
      <w:lvlText w:val="%6."/>
      <w:lvlJc w:val="right"/>
      <w:pPr>
        <w:ind w:left="4427" w:hanging="180"/>
      </w:pPr>
    </w:lvl>
    <w:lvl w:ilvl="6" w:tplc="0C09000F" w:tentative="1">
      <w:start w:val="1"/>
      <w:numFmt w:val="decimal"/>
      <w:lvlText w:val="%7."/>
      <w:lvlJc w:val="left"/>
      <w:pPr>
        <w:ind w:left="5147" w:hanging="360"/>
      </w:pPr>
    </w:lvl>
    <w:lvl w:ilvl="7" w:tplc="0C090019" w:tentative="1">
      <w:start w:val="1"/>
      <w:numFmt w:val="lowerLetter"/>
      <w:lvlText w:val="%8."/>
      <w:lvlJc w:val="left"/>
      <w:pPr>
        <w:ind w:left="5867" w:hanging="360"/>
      </w:pPr>
    </w:lvl>
    <w:lvl w:ilvl="8" w:tplc="0C09001B" w:tentative="1">
      <w:start w:val="1"/>
      <w:numFmt w:val="lowerRoman"/>
      <w:lvlText w:val="%9."/>
      <w:lvlJc w:val="right"/>
      <w:pPr>
        <w:ind w:left="6587" w:hanging="180"/>
      </w:pPr>
    </w:lvl>
  </w:abstractNum>
  <w:abstractNum w:abstractNumId="16" w15:restartNumberingAfterBreak="0">
    <w:nsid w:val="68054B69"/>
    <w:multiLevelType w:val="hybridMultilevel"/>
    <w:tmpl w:val="6C8E1E7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B518A3"/>
    <w:multiLevelType w:val="hybridMultilevel"/>
    <w:tmpl w:val="91CA6B5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7A65FA2"/>
    <w:multiLevelType w:val="hybridMultilevel"/>
    <w:tmpl w:val="BF56E762"/>
    <w:lvl w:ilvl="0" w:tplc="533442CC">
      <w:numFmt w:val="bullet"/>
      <w:lvlText w:val=""/>
      <w:lvlJc w:val="left"/>
      <w:pPr>
        <w:ind w:left="559" w:hanging="272"/>
      </w:pPr>
      <w:rPr>
        <w:rFonts w:ascii="Symbol" w:eastAsia="Symbol" w:hAnsi="Symbol" w:cs="Symbol" w:hint="default"/>
        <w:w w:val="100"/>
        <w:sz w:val="22"/>
        <w:szCs w:val="22"/>
        <w:lang w:val="en-US" w:eastAsia="en-US" w:bidi="en-US"/>
      </w:rPr>
    </w:lvl>
    <w:lvl w:ilvl="1" w:tplc="E2289BAC">
      <w:numFmt w:val="bullet"/>
      <w:lvlText w:val="•"/>
      <w:lvlJc w:val="left"/>
      <w:pPr>
        <w:ind w:left="1037" w:hanging="272"/>
      </w:pPr>
      <w:rPr>
        <w:rFonts w:hint="default"/>
        <w:lang w:val="en-US" w:eastAsia="en-US" w:bidi="en-US"/>
      </w:rPr>
    </w:lvl>
    <w:lvl w:ilvl="2" w:tplc="91641932">
      <w:numFmt w:val="bullet"/>
      <w:lvlText w:val="•"/>
      <w:lvlJc w:val="left"/>
      <w:pPr>
        <w:ind w:left="1514" w:hanging="272"/>
      </w:pPr>
      <w:rPr>
        <w:rFonts w:hint="default"/>
        <w:lang w:val="en-US" w:eastAsia="en-US" w:bidi="en-US"/>
      </w:rPr>
    </w:lvl>
    <w:lvl w:ilvl="3" w:tplc="0646E9AA">
      <w:numFmt w:val="bullet"/>
      <w:lvlText w:val="•"/>
      <w:lvlJc w:val="left"/>
      <w:pPr>
        <w:ind w:left="1991" w:hanging="272"/>
      </w:pPr>
      <w:rPr>
        <w:rFonts w:hint="default"/>
        <w:lang w:val="en-US" w:eastAsia="en-US" w:bidi="en-US"/>
      </w:rPr>
    </w:lvl>
    <w:lvl w:ilvl="4" w:tplc="ABBAA978">
      <w:numFmt w:val="bullet"/>
      <w:lvlText w:val="•"/>
      <w:lvlJc w:val="left"/>
      <w:pPr>
        <w:ind w:left="2469" w:hanging="272"/>
      </w:pPr>
      <w:rPr>
        <w:rFonts w:hint="default"/>
        <w:lang w:val="en-US" w:eastAsia="en-US" w:bidi="en-US"/>
      </w:rPr>
    </w:lvl>
    <w:lvl w:ilvl="5" w:tplc="087E2052">
      <w:numFmt w:val="bullet"/>
      <w:lvlText w:val="•"/>
      <w:lvlJc w:val="left"/>
      <w:pPr>
        <w:ind w:left="2946" w:hanging="272"/>
      </w:pPr>
      <w:rPr>
        <w:rFonts w:hint="default"/>
        <w:lang w:val="en-US" w:eastAsia="en-US" w:bidi="en-US"/>
      </w:rPr>
    </w:lvl>
    <w:lvl w:ilvl="6" w:tplc="5288BAE2">
      <w:numFmt w:val="bullet"/>
      <w:lvlText w:val="•"/>
      <w:lvlJc w:val="left"/>
      <w:pPr>
        <w:ind w:left="3423" w:hanging="272"/>
      </w:pPr>
      <w:rPr>
        <w:rFonts w:hint="default"/>
        <w:lang w:val="en-US" w:eastAsia="en-US" w:bidi="en-US"/>
      </w:rPr>
    </w:lvl>
    <w:lvl w:ilvl="7" w:tplc="F8B623B4">
      <w:numFmt w:val="bullet"/>
      <w:lvlText w:val="•"/>
      <w:lvlJc w:val="left"/>
      <w:pPr>
        <w:ind w:left="3901" w:hanging="272"/>
      </w:pPr>
      <w:rPr>
        <w:rFonts w:hint="default"/>
        <w:lang w:val="en-US" w:eastAsia="en-US" w:bidi="en-US"/>
      </w:rPr>
    </w:lvl>
    <w:lvl w:ilvl="8" w:tplc="FB78E7CE">
      <w:numFmt w:val="bullet"/>
      <w:lvlText w:val="•"/>
      <w:lvlJc w:val="left"/>
      <w:pPr>
        <w:ind w:left="4378" w:hanging="272"/>
      </w:pPr>
      <w:rPr>
        <w:rFonts w:hint="default"/>
        <w:lang w:val="en-US" w:eastAsia="en-US" w:bidi="en-US"/>
      </w:rPr>
    </w:lvl>
  </w:abstractNum>
  <w:abstractNum w:abstractNumId="19" w15:restartNumberingAfterBreak="0">
    <w:nsid w:val="7DB02ED0"/>
    <w:multiLevelType w:val="hybridMultilevel"/>
    <w:tmpl w:val="2662E61A"/>
    <w:lvl w:ilvl="0" w:tplc="0C090005">
      <w:start w:val="1"/>
      <w:numFmt w:val="bullet"/>
      <w:lvlText w:val=""/>
      <w:lvlJc w:val="left"/>
      <w:pPr>
        <w:ind w:left="1187" w:hanging="360"/>
      </w:pPr>
      <w:rPr>
        <w:rFonts w:ascii="Wingdings" w:hAnsi="Wingdings" w:hint="default"/>
      </w:rPr>
    </w:lvl>
    <w:lvl w:ilvl="1" w:tplc="0C090003" w:tentative="1">
      <w:start w:val="1"/>
      <w:numFmt w:val="bullet"/>
      <w:lvlText w:val="o"/>
      <w:lvlJc w:val="left"/>
      <w:pPr>
        <w:ind w:left="1907" w:hanging="360"/>
      </w:pPr>
      <w:rPr>
        <w:rFonts w:ascii="Courier New" w:hAnsi="Courier New" w:cs="Courier New" w:hint="default"/>
      </w:rPr>
    </w:lvl>
    <w:lvl w:ilvl="2" w:tplc="0C090005" w:tentative="1">
      <w:start w:val="1"/>
      <w:numFmt w:val="bullet"/>
      <w:lvlText w:val=""/>
      <w:lvlJc w:val="left"/>
      <w:pPr>
        <w:ind w:left="2627" w:hanging="360"/>
      </w:pPr>
      <w:rPr>
        <w:rFonts w:ascii="Wingdings" w:hAnsi="Wingdings" w:hint="default"/>
      </w:rPr>
    </w:lvl>
    <w:lvl w:ilvl="3" w:tplc="0C090001" w:tentative="1">
      <w:start w:val="1"/>
      <w:numFmt w:val="bullet"/>
      <w:lvlText w:val=""/>
      <w:lvlJc w:val="left"/>
      <w:pPr>
        <w:ind w:left="3347" w:hanging="360"/>
      </w:pPr>
      <w:rPr>
        <w:rFonts w:ascii="Symbol" w:hAnsi="Symbol" w:hint="default"/>
      </w:rPr>
    </w:lvl>
    <w:lvl w:ilvl="4" w:tplc="0C090003" w:tentative="1">
      <w:start w:val="1"/>
      <w:numFmt w:val="bullet"/>
      <w:lvlText w:val="o"/>
      <w:lvlJc w:val="left"/>
      <w:pPr>
        <w:ind w:left="4067" w:hanging="360"/>
      </w:pPr>
      <w:rPr>
        <w:rFonts w:ascii="Courier New" w:hAnsi="Courier New" w:cs="Courier New" w:hint="default"/>
      </w:rPr>
    </w:lvl>
    <w:lvl w:ilvl="5" w:tplc="0C090005" w:tentative="1">
      <w:start w:val="1"/>
      <w:numFmt w:val="bullet"/>
      <w:lvlText w:val=""/>
      <w:lvlJc w:val="left"/>
      <w:pPr>
        <w:ind w:left="4787" w:hanging="360"/>
      </w:pPr>
      <w:rPr>
        <w:rFonts w:ascii="Wingdings" w:hAnsi="Wingdings" w:hint="default"/>
      </w:rPr>
    </w:lvl>
    <w:lvl w:ilvl="6" w:tplc="0C090001" w:tentative="1">
      <w:start w:val="1"/>
      <w:numFmt w:val="bullet"/>
      <w:lvlText w:val=""/>
      <w:lvlJc w:val="left"/>
      <w:pPr>
        <w:ind w:left="5507" w:hanging="360"/>
      </w:pPr>
      <w:rPr>
        <w:rFonts w:ascii="Symbol" w:hAnsi="Symbol" w:hint="default"/>
      </w:rPr>
    </w:lvl>
    <w:lvl w:ilvl="7" w:tplc="0C090003" w:tentative="1">
      <w:start w:val="1"/>
      <w:numFmt w:val="bullet"/>
      <w:lvlText w:val="o"/>
      <w:lvlJc w:val="left"/>
      <w:pPr>
        <w:ind w:left="6227" w:hanging="360"/>
      </w:pPr>
      <w:rPr>
        <w:rFonts w:ascii="Courier New" w:hAnsi="Courier New" w:cs="Courier New" w:hint="default"/>
      </w:rPr>
    </w:lvl>
    <w:lvl w:ilvl="8" w:tplc="0C090005" w:tentative="1">
      <w:start w:val="1"/>
      <w:numFmt w:val="bullet"/>
      <w:lvlText w:val=""/>
      <w:lvlJc w:val="left"/>
      <w:pPr>
        <w:ind w:left="6947" w:hanging="360"/>
      </w:pPr>
      <w:rPr>
        <w:rFonts w:ascii="Wingdings" w:hAnsi="Wingdings" w:hint="default"/>
      </w:rPr>
    </w:lvl>
  </w:abstractNum>
  <w:num w:numId="1">
    <w:abstractNumId w:val="10"/>
  </w:num>
  <w:num w:numId="2">
    <w:abstractNumId w:val="8"/>
  </w:num>
  <w:num w:numId="3">
    <w:abstractNumId w:val="18"/>
  </w:num>
  <w:num w:numId="4">
    <w:abstractNumId w:val="13"/>
  </w:num>
  <w:num w:numId="5">
    <w:abstractNumId w:val="0"/>
  </w:num>
  <w:num w:numId="6">
    <w:abstractNumId w:val="1"/>
  </w:num>
  <w:num w:numId="7">
    <w:abstractNumId w:val="7"/>
  </w:num>
  <w:num w:numId="8">
    <w:abstractNumId w:val="17"/>
  </w:num>
  <w:num w:numId="9">
    <w:abstractNumId w:val="11"/>
  </w:num>
  <w:num w:numId="10">
    <w:abstractNumId w:val="6"/>
  </w:num>
  <w:num w:numId="11">
    <w:abstractNumId w:val="5"/>
  </w:num>
  <w:num w:numId="12">
    <w:abstractNumId w:val="4"/>
  </w:num>
  <w:num w:numId="13">
    <w:abstractNumId w:val="15"/>
  </w:num>
  <w:num w:numId="14">
    <w:abstractNumId w:val="12"/>
  </w:num>
  <w:num w:numId="15">
    <w:abstractNumId w:val="16"/>
  </w:num>
  <w:num w:numId="16">
    <w:abstractNumId w:val="9"/>
  </w:num>
  <w:num w:numId="17">
    <w:abstractNumId w:val="2"/>
  </w:num>
  <w:num w:numId="18">
    <w:abstractNumId w:val="14"/>
  </w:num>
  <w:num w:numId="19">
    <w:abstractNumId w:val="1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GxMDS1sDQxNDMyNzRT0lEKTi0uzszPAykwqQUAbv5o5iwAAAA="/>
  </w:docVars>
  <w:rsids>
    <w:rsidRoot w:val="00626FBD"/>
    <w:rsid w:val="000917B1"/>
    <w:rsid w:val="001B3B0B"/>
    <w:rsid w:val="00276917"/>
    <w:rsid w:val="00291335"/>
    <w:rsid w:val="005605EB"/>
    <w:rsid w:val="005822C3"/>
    <w:rsid w:val="00611759"/>
    <w:rsid w:val="00626FBD"/>
    <w:rsid w:val="00644895"/>
    <w:rsid w:val="006459CC"/>
    <w:rsid w:val="00654E59"/>
    <w:rsid w:val="00DA1EAD"/>
    <w:rsid w:val="00EA468F"/>
    <w:rsid w:val="00F223B9"/>
    <w:rsid w:val="00FC44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4AE47"/>
  <w15:chartTrackingRefBased/>
  <w15:docId w15:val="{4EDB2927-B9E7-4F87-A9DE-045CF736D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23B9"/>
    <w:pPr>
      <w:keepNext/>
      <w:keepLines/>
      <w:numPr>
        <w:numId w:val="1"/>
      </w:numPr>
      <w:tabs>
        <w:tab w:val="left" w:pos="1134"/>
      </w:tabs>
      <w:spacing w:before="240" w:after="120" w:line="240" w:lineRule="auto"/>
      <w:ind w:left="680" w:hanging="680"/>
      <w:outlineLvl w:val="0"/>
    </w:pPr>
    <w:rPr>
      <w:rFonts w:eastAsiaTheme="majorEastAsia" w:cs="Times New Roman (Headings CS)"/>
      <w:caps/>
      <w:color w:val="1F3864" w:themeColor="accent1" w:themeShade="80"/>
      <w:sz w:val="48"/>
      <w:szCs w:val="32"/>
    </w:rPr>
  </w:style>
  <w:style w:type="paragraph" w:styleId="Heading2">
    <w:name w:val="heading 2"/>
    <w:basedOn w:val="Normal"/>
    <w:next w:val="Normal"/>
    <w:link w:val="Heading2Char"/>
    <w:uiPriority w:val="9"/>
    <w:unhideWhenUsed/>
    <w:qFormat/>
    <w:rsid w:val="00F223B9"/>
    <w:pPr>
      <w:keepNext/>
      <w:keepLines/>
      <w:numPr>
        <w:ilvl w:val="1"/>
        <w:numId w:val="1"/>
      </w:numPr>
      <w:spacing w:before="120" w:after="60" w:line="240" w:lineRule="auto"/>
      <w:ind w:left="794" w:hanging="794"/>
      <w:outlineLvl w:val="1"/>
    </w:pPr>
    <w:rPr>
      <w:rFonts w:eastAsiaTheme="majorEastAsia" w:cstheme="majorBidi"/>
      <w:color w:val="1F3864" w:themeColor="accent1" w:themeShade="80"/>
      <w:sz w:val="36"/>
      <w:szCs w:val="26"/>
    </w:rPr>
  </w:style>
  <w:style w:type="paragraph" w:styleId="Heading3">
    <w:name w:val="heading 3"/>
    <w:basedOn w:val="Normal"/>
    <w:next w:val="Normal"/>
    <w:link w:val="Heading3Char"/>
    <w:uiPriority w:val="9"/>
    <w:unhideWhenUsed/>
    <w:qFormat/>
    <w:rsid w:val="00F223B9"/>
    <w:pPr>
      <w:keepNext/>
      <w:keepLines/>
      <w:numPr>
        <w:ilvl w:val="2"/>
        <w:numId w:val="1"/>
      </w:numPr>
      <w:spacing w:before="120" w:after="0" w:line="240" w:lineRule="auto"/>
      <w:ind w:left="1134" w:hanging="1134"/>
      <w:outlineLvl w:val="2"/>
    </w:pPr>
    <w:rPr>
      <w:rFonts w:eastAsiaTheme="majorEastAsia" w:cstheme="majorBidi"/>
      <w:color w:val="002060"/>
      <w:sz w:val="32"/>
      <w:szCs w:val="24"/>
    </w:rPr>
  </w:style>
  <w:style w:type="paragraph" w:styleId="Heading4">
    <w:name w:val="heading 4"/>
    <w:basedOn w:val="Normal"/>
    <w:next w:val="Normal"/>
    <w:link w:val="Heading4Char"/>
    <w:uiPriority w:val="9"/>
    <w:unhideWhenUsed/>
    <w:qFormat/>
    <w:rsid w:val="00F223B9"/>
    <w:pPr>
      <w:keepNext/>
      <w:keepLines/>
      <w:numPr>
        <w:ilvl w:val="3"/>
        <w:numId w:val="1"/>
      </w:numPr>
      <w:spacing w:before="40" w:after="0" w:line="240" w:lineRule="auto"/>
      <w:ind w:left="1134" w:hanging="1134"/>
      <w:outlineLvl w:val="3"/>
    </w:pPr>
    <w:rPr>
      <w:rFonts w:asciiTheme="majorHAnsi" w:eastAsiaTheme="majorEastAsia" w:hAnsiTheme="majorHAnsi" w:cstheme="majorBidi"/>
      <w:iCs/>
      <w:color w:val="00206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Header Char1 Char Char,Header Char Char Char Char,Header Char1 Char Char Char Char,Header Char Char Char Char Char Char,Header Char Char1 Char Char,Header Char Char2 Char,Header Char1 Char Char1 Char"/>
    <w:basedOn w:val="Normal"/>
    <w:link w:val="HeaderChar"/>
    <w:uiPriority w:val="99"/>
    <w:unhideWhenUsed/>
    <w:rsid w:val="00626FBD"/>
    <w:pPr>
      <w:tabs>
        <w:tab w:val="center" w:pos="4513"/>
        <w:tab w:val="right" w:pos="9026"/>
      </w:tabs>
      <w:spacing w:after="0" w:line="240" w:lineRule="auto"/>
    </w:pPr>
  </w:style>
  <w:style w:type="character" w:customStyle="1" w:styleId="HeaderChar">
    <w:name w:val="Header Char"/>
    <w:aliases w:val="Header Char1 Char,Header Char Char Char,Header Char1 Char Char Char,Header Char Char Char Char Char,Header Char1 Char Char Char Char Char,Header Char Char Char Char Char Char Char,Header Char Char1 Char Char Char,Header Char Char2 Char Char"/>
    <w:basedOn w:val="DefaultParagraphFont"/>
    <w:link w:val="Header"/>
    <w:uiPriority w:val="99"/>
    <w:rsid w:val="00626FBD"/>
  </w:style>
  <w:style w:type="paragraph" w:styleId="Footer">
    <w:name w:val="footer"/>
    <w:basedOn w:val="Normal"/>
    <w:link w:val="FooterChar"/>
    <w:uiPriority w:val="99"/>
    <w:unhideWhenUsed/>
    <w:rsid w:val="00626F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6FBD"/>
  </w:style>
  <w:style w:type="table" w:styleId="TableGrid">
    <w:name w:val="Table Grid"/>
    <w:basedOn w:val="TableNormal"/>
    <w:uiPriority w:val="39"/>
    <w:rsid w:val="00626FBD"/>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223B9"/>
    <w:rPr>
      <w:rFonts w:eastAsiaTheme="majorEastAsia" w:cs="Times New Roman (Headings CS)"/>
      <w:caps/>
      <w:color w:val="1F3864" w:themeColor="accent1" w:themeShade="80"/>
      <w:sz w:val="48"/>
      <w:szCs w:val="32"/>
    </w:rPr>
  </w:style>
  <w:style w:type="character" w:customStyle="1" w:styleId="Heading2Char">
    <w:name w:val="Heading 2 Char"/>
    <w:basedOn w:val="DefaultParagraphFont"/>
    <w:link w:val="Heading2"/>
    <w:uiPriority w:val="9"/>
    <w:rsid w:val="00F223B9"/>
    <w:rPr>
      <w:rFonts w:eastAsiaTheme="majorEastAsia" w:cstheme="majorBidi"/>
      <w:color w:val="1F3864" w:themeColor="accent1" w:themeShade="80"/>
      <w:sz w:val="36"/>
      <w:szCs w:val="26"/>
    </w:rPr>
  </w:style>
  <w:style w:type="character" w:customStyle="1" w:styleId="Heading3Char">
    <w:name w:val="Heading 3 Char"/>
    <w:basedOn w:val="DefaultParagraphFont"/>
    <w:link w:val="Heading3"/>
    <w:uiPriority w:val="9"/>
    <w:rsid w:val="00F223B9"/>
    <w:rPr>
      <w:rFonts w:eastAsiaTheme="majorEastAsia" w:cstheme="majorBidi"/>
      <w:color w:val="002060"/>
      <w:sz w:val="32"/>
      <w:szCs w:val="24"/>
    </w:rPr>
  </w:style>
  <w:style w:type="character" w:customStyle="1" w:styleId="Heading4Char">
    <w:name w:val="Heading 4 Char"/>
    <w:basedOn w:val="DefaultParagraphFont"/>
    <w:link w:val="Heading4"/>
    <w:uiPriority w:val="9"/>
    <w:rsid w:val="00F223B9"/>
    <w:rPr>
      <w:rFonts w:asciiTheme="majorHAnsi" w:eastAsiaTheme="majorEastAsia" w:hAnsiTheme="majorHAnsi" w:cstheme="majorBidi"/>
      <w:iCs/>
      <w:color w:val="002060"/>
      <w:sz w:val="28"/>
      <w:szCs w:val="24"/>
    </w:rPr>
  </w:style>
  <w:style w:type="paragraph" w:customStyle="1" w:styleId="TableParagraph">
    <w:name w:val="Table Paragraph"/>
    <w:basedOn w:val="Normal"/>
    <w:uiPriority w:val="1"/>
    <w:qFormat/>
    <w:rsid w:val="00F223B9"/>
    <w:pPr>
      <w:widowControl w:val="0"/>
      <w:autoSpaceDE w:val="0"/>
      <w:autoSpaceDN w:val="0"/>
      <w:spacing w:after="0" w:line="240" w:lineRule="auto"/>
    </w:pPr>
    <w:rPr>
      <w:rFonts w:ascii="Calibri" w:eastAsia="Calibri" w:hAnsi="Calibri" w:cs="Calibri"/>
      <w:lang w:val="en-US" w:bidi="en-US"/>
    </w:rPr>
  </w:style>
  <w:style w:type="paragraph" w:styleId="ListParagraph">
    <w:name w:val="List Paragraph"/>
    <w:basedOn w:val="Normal"/>
    <w:uiPriority w:val="34"/>
    <w:qFormat/>
    <w:rsid w:val="00F223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1A221FB85AF2449A790573BD88C81D" ma:contentTypeVersion="12" ma:contentTypeDescription="Create a new document." ma:contentTypeScope="" ma:versionID="37ab48f39a2275baa06bc41f4e46dd43">
  <xsd:schema xmlns:xsd="http://www.w3.org/2001/XMLSchema" xmlns:xs="http://www.w3.org/2001/XMLSchema" xmlns:p="http://schemas.microsoft.com/office/2006/metadata/properties" xmlns:ns2="631903b3-48bf-4aae-a3a8-1272723628d8" xmlns:ns3="a6307744-31e9-47c1-9829-e2c9c0fade14" targetNamespace="http://schemas.microsoft.com/office/2006/metadata/properties" ma:root="true" ma:fieldsID="a27c3cb5fe8f1cc3f429f5c69bec572d" ns2:_="" ns3:_="">
    <xsd:import namespace="631903b3-48bf-4aae-a3a8-1272723628d8"/>
    <xsd:import namespace="a6307744-31e9-47c1-9829-e2c9c0fade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903b3-48bf-4aae-a3a8-1272723628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307744-31e9-47c1-9829-e2c9c0fade1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DFC0EB-856D-4045-B23E-A33E3AAD9B40}"/>
</file>

<file path=customXml/itemProps2.xml><?xml version="1.0" encoding="utf-8"?>
<ds:datastoreItem xmlns:ds="http://schemas.openxmlformats.org/officeDocument/2006/customXml" ds:itemID="{A1B8498E-0E60-41D3-8BEB-44934B10B975}"/>
</file>

<file path=customXml/itemProps3.xml><?xml version="1.0" encoding="utf-8"?>
<ds:datastoreItem xmlns:ds="http://schemas.openxmlformats.org/officeDocument/2006/customXml" ds:itemID="{FE8D309D-F1B9-4BBC-AEA2-DA057BE64EA3}"/>
</file>

<file path=docProps/app.xml><?xml version="1.0" encoding="utf-8"?>
<Properties xmlns="http://schemas.openxmlformats.org/officeDocument/2006/extended-properties" xmlns:vt="http://schemas.openxmlformats.org/officeDocument/2006/docPropsVTypes">
  <Template>Normal</Template>
  <TotalTime>266</TotalTime>
  <Pages>4</Pages>
  <Words>916</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Stojanovic</dc:creator>
  <cp:keywords/>
  <dc:description/>
  <cp:lastModifiedBy>Tamara Stojanovic</cp:lastModifiedBy>
  <cp:revision>6</cp:revision>
  <dcterms:created xsi:type="dcterms:W3CDTF">2019-10-02T10:41:00Z</dcterms:created>
  <dcterms:modified xsi:type="dcterms:W3CDTF">2019-11-24T06:59:00Z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0x010100041A221FB85AF2449A790573BD88C81D</vt:lpwstr>
  </property>
  <property fmtid="{D5CDD505-2E9C-101B-9397-08002B2CF9AE}" pid="3" name="Order">
    <vt:r8>2364900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