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0DCB7" w14:textId="77777777" w:rsidR="00DC5A7C" w:rsidRPr="00DC5A7C" w:rsidRDefault="00DC5A7C" w:rsidP="005E16B5">
      <w:pPr>
        <w:shd w:val="clear" w:color="auto" w:fill="009644"/>
        <w:spacing w:beforeLines="60" w:before="144" w:after="60"/>
        <w:jc w:val="center"/>
        <w:rPr>
          <w:b/>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A7C">
        <w:rPr>
          <w:b/>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Client Rights in Participating in ASES External Assessments</w:t>
      </w:r>
    </w:p>
    <w:p w14:paraId="72B9A84D" w14:textId="77777777" w:rsidR="00DC5A7C" w:rsidRPr="00DC5A7C" w:rsidRDefault="00DC5A7C" w:rsidP="00DC5A7C">
      <w:pPr>
        <w:spacing w:before="0" w:after="0"/>
        <w:ind w:left="357"/>
        <w:rPr>
          <w:color w:val="002060"/>
          <w:sz w:val="16"/>
          <w:szCs w:val="16"/>
        </w:rPr>
      </w:pPr>
    </w:p>
    <w:p w14:paraId="1488087A" w14:textId="738B7149" w:rsidR="00DC5A7C" w:rsidRPr="005B49B0" w:rsidRDefault="00DC5A7C" w:rsidP="00DC5A7C">
      <w:pPr>
        <w:spacing w:beforeLines="100" w:before="240" w:after="60"/>
        <w:ind w:left="360"/>
        <w:rPr>
          <w:color w:val="222A35" w:themeColor="text2" w:themeShade="80"/>
          <w:sz w:val="28"/>
          <w:szCs w:val="28"/>
        </w:rPr>
      </w:pPr>
      <w:r w:rsidRPr="005B49B0">
        <w:rPr>
          <w:color w:val="222A35" w:themeColor="text2" w:themeShade="80"/>
          <w:sz w:val="28"/>
          <w:szCs w:val="28"/>
        </w:rPr>
        <w:t xml:space="preserve">An External Assessment is a site visit by an approved independent auditing organisation which ensures that the organisation is meeting all of the Australian Service Excellence Standards before an accreditation certificate is given to them. </w:t>
      </w:r>
    </w:p>
    <w:p w14:paraId="72403A1C" w14:textId="21DC1E6D" w:rsidR="00DC5A7C" w:rsidRPr="005B49B0" w:rsidRDefault="00DC5A7C" w:rsidP="00DC5A7C">
      <w:pPr>
        <w:pStyle w:val="ListParagraph"/>
        <w:numPr>
          <w:ilvl w:val="0"/>
          <w:numId w:val="2"/>
        </w:numPr>
        <w:spacing w:beforeLines="100" w:before="240" w:after="60"/>
        <w:ind w:left="1077" w:hanging="357"/>
        <w:contextualSpacing w:val="0"/>
        <w:rPr>
          <w:color w:val="222A35" w:themeColor="text2" w:themeShade="80"/>
          <w:sz w:val="28"/>
          <w:szCs w:val="28"/>
        </w:rPr>
      </w:pPr>
      <w:r w:rsidRPr="005B49B0">
        <w:rPr>
          <w:color w:val="222A35" w:themeColor="text2" w:themeShade="80"/>
          <w:sz w:val="28"/>
          <w:szCs w:val="28"/>
        </w:rPr>
        <w:t xml:space="preserve">Client participation in providing input and feedback can be a valuable part of the External Assessment and is used in a positive and constructive manner. </w:t>
      </w:r>
    </w:p>
    <w:p w14:paraId="25023817" w14:textId="77777777" w:rsidR="00DC5A7C" w:rsidRPr="005B49B0" w:rsidRDefault="00DC5A7C" w:rsidP="00DC5A7C">
      <w:pPr>
        <w:pStyle w:val="ListParagraph"/>
        <w:numPr>
          <w:ilvl w:val="0"/>
          <w:numId w:val="2"/>
        </w:numPr>
        <w:spacing w:beforeLines="100" w:before="240" w:after="60"/>
        <w:ind w:left="1077" w:hanging="357"/>
        <w:contextualSpacing w:val="0"/>
        <w:rPr>
          <w:color w:val="222A35" w:themeColor="text2" w:themeShade="80"/>
          <w:sz w:val="28"/>
          <w:szCs w:val="28"/>
        </w:rPr>
      </w:pPr>
      <w:r w:rsidRPr="005B49B0">
        <w:rPr>
          <w:color w:val="222A35" w:themeColor="text2" w:themeShade="80"/>
          <w:sz w:val="28"/>
          <w:szCs w:val="28"/>
        </w:rPr>
        <w:t xml:space="preserve">All clients have a right and opportunity to be involved and consulted in the External Assessment </w:t>
      </w:r>
    </w:p>
    <w:p w14:paraId="612E7DD4" w14:textId="77777777" w:rsidR="00DC5A7C" w:rsidRPr="005B49B0" w:rsidRDefault="00DC5A7C" w:rsidP="00DC5A7C">
      <w:pPr>
        <w:pStyle w:val="ListParagraph"/>
        <w:numPr>
          <w:ilvl w:val="0"/>
          <w:numId w:val="2"/>
        </w:numPr>
        <w:spacing w:beforeLines="100" w:before="240" w:after="60"/>
        <w:ind w:left="1077" w:hanging="357"/>
        <w:contextualSpacing w:val="0"/>
        <w:rPr>
          <w:color w:val="222A35" w:themeColor="text2" w:themeShade="80"/>
          <w:sz w:val="28"/>
          <w:szCs w:val="28"/>
        </w:rPr>
      </w:pPr>
      <w:r w:rsidRPr="005B49B0">
        <w:rPr>
          <w:color w:val="222A35" w:themeColor="text2" w:themeShade="80"/>
          <w:sz w:val="28"/>
          <w:szCs w:val="28"/>
        </w:rPr>
        <w:t xml:space="preserve">Clients have a right not to be involved </w:t>
      </w:r>
    </w:p>
    <w:p w14:paraId="4F9E260D" w14:textId="77777777" w:rsidR="00DC5A7C" w:rsidRPr="005B49B0" w:rsidRDefault="00DC5A7C" w:rsidP="00DC5A7C">
      <w:pPr>
        <w:pStyle w:val="ListParagraph"/>
        <w:numPr>
          <w:ilvl w:val="0"/>
          <w:numId w:val="2"/>
        </w:numPr>
        <w:spacing w:beforeLines="100" w:before="240" w:after="60"/>
        <w:ind w:left="1077" w:hanging="357"/>
        <w:contextualSpacing w:val="0"/>
        <w:rPr>
          <w:color w:val="222A35" w:themeColor="text2" w:themeShade="80"/>
          <w:sz w:val="28"/>
          <w:szCs w:val="28"/>
        </w:rPr>
      </w:pPr>
      <w:r w:rsidRPr="005B49B0">
        <w:rPr>
          <w:color w:val="222A35" w:themeColor="text2" w:themeShade="80"/>
          <w:sz w:val="28"/>
          <w:szCs w:val="28"/>
        </w:rPr>
        <w:t xml:space="preserve">Clients’ decisions to be involved or not involved are respected </w:t>
      </w:r>
    </w:p>
    <w:p w14:paraId="01269A1E" w14:textId="77777777" w:rsidR="00DC5A7C" w:rsidRPr="005B49B0" w:rsidRDefault="00DC5A7C" w:rsidP="00DC5A7C">
      <w:pPr>
        <w:pStyle w:val="ListParagraph"/>
        <w:numPr>
          <w:ilvl w:val="0"/>
          <w:numId w:val="2"/>
        </w:numPr>
        <w:spacing w:beforeLines="100" w:before="240" w:after="60"/>
        <w:ind w:left="1077" w:hanging="357"/>
        <w:contextualSpacing w:val="0"/>
        <w:rPr>
          <w:color w:val="222A35" w:themeColor="text2" w:themeShade="80"/>
          <w:sz w:val="28"/>
          <w:szCs w:val="28"/>
        </w:rPr>
      </w:pPr>
      <w:r w:rsidRPr="005B49B0">
        <w:rPr>
          <w:color w:val="222A35" w:themeColor="text2" w:themeShade="80"/>
          <w:sz w:val="28"/>
          <w:szCs w:val="28"/>
        </w:rPr>
        <w:t>Clients’ confidentiality and privacy are respected</w:t>
      </w:r>
    </w:p>
    <w:p w14:paraId="40F318C3" w14:textId="77777777" w:rsidR="00DC5A7C" w:rsidRPr="005B49B0" w:rsidRDefault="00DC5A7C" w:rsidP="00DC5A7C">
      <w:pPr>
        <w:pStyle w:val="ListParagraph"/>
        <w:numPr>
          <w:ilvl w:val="0"/>
          <w:numId w:val="2"/>
        </w:numPr>
        <w:spacing w:beforeLines="100" w:before="240" w:after="60"/>
        <w:ind w:left="1077" w:hanging="357"/>
        <w:contextualSpacing w:val="0"/>
        <w:rPr>
          <w:color w:val="222A35" w:themeColor="text2" w:themeShade="80"/>
          <w:sz w:val="28"/>
          <w:szCs w:val="28"/>
        </w:rPr>
      </w:pPr>
      <w:r w:rsidRPr="005B49B0">
        <w:rPr>
          <w:color w:val="222A35" w:themeColor="text2" w:themeShade="80"/>
          <w:sz w:val="28"/>
          <w:szCs w:val="28"/>
        </w:rPr>
        <w:t xml:space="preserve">Clients’ consent must be obtained for them to speak to External Assessors </w:t>
      </w:r>
    </w:p>
    <w:p w14:paraId="4909BC98" w14:textId="77777777" w:rsidR="00DC5A7C" w:rsidRPr="005B49B0" w:rsidRDefault="00DC5A7C" w:rsidP="00DC5A7C">
      <w:pPr>
        <w:pStyle w:val="ListParagraph"/>
        <w:numPr>
          <w:ilvl w:val="0"/>
          <w:numId w:val="2"/>
        </w:numPr>
        <w:spacing w:beforeLines="100" w:before="240" w:after="60"/>
        <w:ind w:left="1077" w:hanging="357"/>
        <w:contextualSpacing w:val="0"/>
        <w:rPr>
          <w:color w:val="222A35" w:themeColor="text2" w:themeShade="80"/>
          <w:sz w:val="28"/>
          <w:szCs w:val="28"/>
        </w:rPr>
      </w:pPr>
      <w:r w:rsidRPr="005B49B0">
        <w:rPr>
          <w:color w:val="222A35" w:themeColor="text2" w:themeShade="80"/>
          <w:sz w:val="28"/>
          <w:szCs w:val="28"/>
        </w:rPr>
        <w:t>Organisations undertaking an ASES External Assessment are required to invite client representation at both the opening and closing meeting of External Assessment site visits</w:t>
      </w:r>
    </w:p>
    <w:p w14:paraId="1594EAAA" w14:textId="77777777" w:rsidR="00DC5A7C" w:rsidRPr="005B49B0" w:rsidRDefault="00DC5A7C" w:rsidP="00DC5A7C">
      <w:pPr>
        <w:pStyle w:val="ListParagraph"/>
        <w:numPr>
          <w:ilvl w:val="0"/>
          <w:numId w:val="2"/>
        </w:numPr>
        <w:spacing w:beforeLines="100" w:before="240" w:after="60"/>
        <w:ind w:left="1077" w:hanging="357"/>
        <w:contextualSpacing w:val="0"/>
        <w:rPr>
          <w:color w:val="222A35" w:themeColor="text2" w:themeShade="80"/>
          <w:sz w:val="28"/>
          <w:szCs w:val="28"/>
        </w:rPr>
      </w:pPr>
      <w:r w:rsidRPr="005B49B0">
        <w:rPr>
          <w:color w:val="222A35" w:themeColor="text2" w:themeShade="80"/>
          <w:sz w:val="28"/>
          <w:szCs w:val="28"/>
        </w:rPr>
        <w:t>Clients have the right to advocacy and support to assist in having their say</w:t>
      </w:r>
      <w:bookmarkStart w:id="0" w:name="_GoBack"/>
      <w:bookmarkEnd w:id="0"/>
    </w:p>
    <w:p w14:paraId="0CFB2E43" w14:textId="77777777" w:rsidR="00DC5A7C" w:rsidRPr="005B49B0" w:rsidRDefault="00DC5A7C" w:rsidP="00DC5A7C">
      <w:pPr>
        <w:pStyle w:val="ListParagraph"/>
        <w:numPr>
          <w:ilvl w:val="0"/>
          <w:numId w:val="2"/>
        </w:numPr>
        <w:spacing w:beforeLines="100" w:before="240" w:after="60"/>
        <w:ind w:left="1077" w:hanging="357"/>
        <w:contextualSpacing w:val="0"/>
        <w:rPr>
          <w:color w:val="222A35" w:themeColor="text2" w:themeShade="80"/>
          <w:sz w:val="28"/>
          <w:szCs w:val="28"/>
        </w:rPr>
      </w:pPr>
      <w:r w:rsidRPr="005B49B0">
        <w:rPr>
          <w:color w:val="222A35" w:themeColor="text2" w:themeShade="80"/>
          <w:sz w:val="28"/>
          <w:szCs w:val="28"/>
        </w:rPr>
        <w:t>People from ATSI or CALD backgrounds and people with disabilities and their support persons are not to be excluded from the External Assessment and are to be provided with timely, plain language information in line with their communication needs about the audit process to allow for a full and informed contribution</w:t>
      </w:r>
    </w:p>
    <w:p w14:paraId="1B2A8427" w14:textId="77777777" w:rsidR="00DC5A7C" w:rsidRDefault="00DC5A7C" w:rsidP="00DC5A7C">
      <w:pPr>
        <w:spacing w:beforeLines="100" w:before="240"/>
        <w:rPr>
          <w:color w:val="002060"/>
        </w:rPr>
      </w:pPr>
    </w:p>
    <w:p w14:paraId="56A9635B" w14:textId="22C3A969" w:rsidR="006459CC" w:rsidRDefault="006459CC"/>
    <w:sectPr w:rsidR="006459C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092E3" w14:textId="77777777" w:rsidR="00E6180A" w:rsidRDefault="00E6180A" w:rsidP="00626FBD">
      <w:pPr>
        <w:spacing w:after="0"/>
      </w:pPr>
      <w:r>
        <w:separator/>
      </w:r>
    </w:p>
  </w:endnote>
  <w:endnote w:type="continuationSeparator" w:id="0">
    <w:p w14:paraId="1D74C0C1" w14:textId="77777777" w:rsidR="00E6180A" w:rsidRDefault="00E6180A" w:rsidP="00626F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2" w:type="pct"/>
      <w:shd w:val="clear" w:color="auto" w:fill="4472C4" w:themeFill="accent1"/>
      <w:tblCellMar>
        <w:left w:w="115" w:type="dxa"/>
        <w:right w:w="115" w:type="dxa"/>
      </w:tblCellMar>
      <w:tblLook w:val="04A0" w:firstRow="1" w:lastRow="0" w:firstColumn="1" w:lastColumn="0" w:noHBand="0" w:noVBand="1"/>
    </w:tblPr>
    <w:tblGrid>
      <w:gridCol w:w="1134"/>
      <w:gridCol w:w="7535"/>
      <w:gridCol w:w="361"/>
    </w:tblGrid>
    <w:tr w:rsidR="00626FBD" w:rsidRPr="002C7035" w14:paraId="0A829521" w14:textId="77777777" w:rsidTr="00B81F31">
      <w:trPr>
        <w:trHeight w:val="510"/>
      </w:trPr>
      <w:tc>
        <w:tcPr>
          <w:tcW w:w="628" w:type="pct"/>
          <w:shd w:val="clear" w:color="auto" w:fill="1F3864" w:themeFill="accent1" w:themeFillShade="80"/>
          <w:tcMar>
            <w:left w:w="57" w:type="dxa"/>
            <w:right w:w="57" w:type="dxa"/>
          </w:tcMar>
          <w:vAlign w:val="center"/>
        </w:tcPr>
        <w:p w14:paraId="71A00B41" w14:textId="65D8107A" w:rsidR="00626FBD" w:rsidRPr="002C7035" w:rsidRDefault="00626FBD" w:rsidP="00B81F31">
          <w:pPr>
            <w:pStyle w:val="Footer"/>
            <w:spacing w:before="0"/>
            <w:jc w:val="right"/>
            <w:rPr>
              <w:rFonts w:ascii="Arial" w:hAnsi="Arial" w:cs="Arial"/>
              <w:caps/>
              <w:color w:val="FFFFFF" w:themeColor="background1"/>
              <w:sz w:val="18"/>
              <w:szCs w:val="18"/>
            </w:rPr>
          </w:pPr>
        </w:p>
      </w:tc>
      <w:tc>
        <w:tcPr>
          <w:tcW w:w="4172" w:type="pct"/>
          <w:shd w:val="clear" w:color="auto" w:fill="1F3864" w:themeFill="accent1" w:themeFillShade="80"/>
          <w:tcMar>
            <w:left w:w="0" w:type="dxa"/>
            <w:right w:w="0" w:type="dxa"/>
          </w:tcMar>
          <w:vAlign w:val="center"/>
        </w:tcPr>
        <w:p w14:paraId="23DCA8A9" w14:textId="2CFCF801" w:rsidR="00626FBD" w:rsidRPr="002C7035" w:rsidRDefault="00626FBD" w:rsidP="00B81F31">
          <w:pPr>
            <w:pStyle w:val="Footer"/>
            <w:spacing w:before="0"/>
            <w:jc w:val="right"/>
            <w:rPr>
              <w:rFonts w:ascii="Arial" w:hAnsi="Arial" w:cs="Arial"/>
              <w:caps/>
              <w:color w:val="FFFFFF" w:themeColor="background1"/>
              <w:sz w:val="18"/>
              <w:szCs w:val="18"/>
            </w:rPr>
          </w:pPr>
        </w:p>
      </w:tc>
      <w:tc>
        <w:tcPr>
          <w:tcW w:w="200" w:type="pct"/>
          <w:shd w:val="clear" w:color="auto" w:fill="1F3864" w:themeFill="accent1" w:themeFillShade="80"/>
          <w:tcMar>
            <w:left w:w="0" w:type="dxa"/>
            <w:right w:w="57" w:type="dxa"/>
          </w:tcMar>
          <w:vAlign w:val="center"/>
        </w:tcPr>
        <w:p w14:paraId="633F3289" w14:textId="77777777" w:rsidR="00626FBD" w:rsidRPr="002C7035" w:rsidRDefault="00626FBD" w:rsidP="00B81F31">
          <w:pPr>
            <w:pStyle w:val="Footer"/>
            <w:spacing w:before="0"/>
            <w:jc w:val="right"/>
            <w:rPr>
              <w:rFonts w:ascii="Arial" w:hAnsi="Arial" w:cs="Arial"/>
              <w:caps/>
              <w:color w:val="FFFFFF" w:themeColor="background1"/>
              <w:sz w:val="18"/>
              <w:szCs w:val="18"/>
            </w:rPr>
          </w:pPr>
          <w:r w:rsidRPr="002C7035">
            <w:rPr>
              <w:rFonts w:ascii="Arial" w:hAnsi="Arial" w:cs="Arial"/>
              <w:caps/>
              <w:color w:val="FFFFFF" w:themeColor="background1"/>
              <w:sz w:val="18"/>
              <w:szCs w:val="18"/>
            </w:rPr>
            <w:fldChar w:fldCharType="begin"/>
          </w:r>
          <w:r w:rsidRPr="002C7035">
            <w:rPr>
              <w:rFonts w:ascii="Arial" w:hAnsi="Arial" w:cs="Arial"/>
              <w:caps/>
              <w:color w:val="FFFFFF" w:themeColor="background1"/>
              <w:sz w:val="18"/>
              <w:szCs w:val="18"/>
            </w:rPr>
            <w:instrText xml:space="preserve"> PAGE   \* MERGEFORMAT </w:instrText>
          </w:r>
          <w:r w:rsidRPr="002C7035">
            <w:rPr>
              <w:rFonts w:ascii="Arial" w:hAnsi="Arial" w:cs="Arial"/>
              <w:caps/>
              <w:color w:val="FFFFFF" w:themeColor="background1"/>
              <w:sz w:val="18"/>
              <w:szCs w:val="18"/>
            </w:rPr>
            <w:fldChar w:fldCharType="separate"/>
          </w:r>
          <w:r w:rsidRPr="002C7035">
            <w:rPr>
              <w:rFonts w:ascii="Arial" w:hAnsi="Arial" w:cs="Arial"/>
              <w:caps/>
              <w:noProof/>
              <w:color w:val="FFFFFF" w:themeColor="background1"/>
              <w:sz w:val="18"/>
              <w:szCs w:val="18"/>
            </w:rPr>
            <w:t>1</w:t>
          </w:r>
          <w:r w:rsidRPr="002C7035">
            <w:rPr>
              <w:rFonts w:ascii="Arial" w:hAnsi="Arial" w:cs="Arial"/>
              <w:caps/>
              <w:noProof/>
              <w:color w:val="FFFFFF" w:themeColor="background1"/>
              <w:sz w:val="18"/>
              <w:szCs w:val="18"/>
            </w:rPr>
            <w:fldChar w:fldCharType="end"/>
          </w:r>
        </w:p>
      </w:tc>
    </w:tr>
  </w:tbl>
  <w:p w14:paraId="2CC0CB36" w14:textId="77777777" w:rsidR="00626FBD" w:rsidRDefault="00626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B811B" w14:textId="77777777" w:rsidR="00E6180A" w:rsidRDefault="00E6180A" w:rsidP="00626FBD">
      <w:pPr>
        <w:spacing w:after="0"/>
      </w:pPr>
      <w:r>
        <w:separator/>
      </w:r>
    </w:p>
  </w:footnote>
  <w:footnote w:type="continuationSeparator" w:id="0">
    <w:p w14:paraId="688B8856" w14:textId="77777777" w:rsidR="00E6180A" w:rsidRDefault="00E6180A" w:rsidP="00626F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4"/>
      <w:gridCol w:w="4152"/>
    </w:tblGrid>
    <w:tr w:rsidR="00626FBD" w:rsidRPr="003149EA" w14:paraId="052E6468" w14:textId="77777777" w:rsidTr="00940364">
      <w:tc>
        <w:tcPr>
          <w:tcW w:w="5245" w:type="dxa"/>
        </w:tcPr>
        <w:p w14:paraId="38CF683D" w14:textId="25B2A971" w:rsidR="00626FBD" w:rsidRPr="003149EA" w:rsidRDefault="00B81F31" w:rsidP="00626FBD">
          <w:pPr>
            <w:pStyle w:val="Header"/>
            <w:tabs>
              <w:tab w:val="clear" w:pos="4513"/>
              <w:tab w:val="clear" w:pos="9026"/>
            </w:tabs>
            <w:ind w:left="57" w:firstLine="57"/>
            <w:rPr>
              <w:color w:val="002060"/>
              <w:sz w:val="28"/>
              <w:szCs w:val="28"/>
            </w:rPr>
          </w:pPr>
          <w:r>
            <w:rPr>
              <w:noProof/>
            </w:rPr>
            <w:drawing>
              <wp:inline distT="0" distB="0" distL="0" distR="0" wp14:anchorId="521B275F" wp14:editId="76C240C0">
                <wp:extent cx="390525" cy="7048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704850"/>
                        </a:xfrm>
                        <a:prstGeom prst="rect">
                          <a:avLst/>
                        </a:prstGeom>
                        <a:noFill/>
                        <a:ln>
                          <a:noFill/>
                        </a:ln>
                      </pic:spPr>
                    </pic:pic>
                  </a:graphicData>
                </a:graphic>
              </wp:inline>
            </w:drawing>
          </w:r>
        </w:p>
      </w:tc>
      <w:tc>
        <w:tcPr>
          <w:tcW w:w="4178" w:type="dxa"/>
          <w:vAlign w:val="center"/>
        </w:tcPr>
        <w:p w14:paraId="07DEB0B9" w14:textId="77777777" w:rsidR="00626FBD" w:rsidRPr="003149EA" w:rsidRDefault="00626FBD" w:rsidP="00626FBD">
          <w:pPr>
            <w:pStyle w:val="Header"/>
            <w:tabs>
              <w:tab w:val="clear" w:pos="4513"/>
              <w:tab w:val="clear" w:pos="9026"/>
            </w:tabs>
            <w:ind w:right="57"/>
            <w:jc w:val="right"/>
            <w:rPr>
              <w:color w:val="002060"/>
              <w:sz w:val="18"/>
              <w:szCs w:val="18"/>
            </w:rPr>
          </w:pPr>
          <w:r w:rsidRPr="003149EA">
            <w:rPr>
              <w:noProof/>
              <w:color w:val="002060"/>
              <w:sz w:val="18"/>
              <w:szCs w:val="18"/>
            </w:rPr>
            <w:drawing>
              <wp:inline distT="0" distB="0" distL="0" distR="0" wp14:anchorId="446F3261" wp14:editId="78EC953E">
                <wp:extent cx="2289266" cy="568258"/>
                <wp:effectExtent l="0" t="0" r="0" b="381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2">
                          <a:extLst>
                            <a:ext uri="{28A0092B-C50C-407E-A947-70E740481C1C}">
                              <a14:useLocalDpi xmlns:a14="http://schemas.microsoft.com/office/drawing/2010/main"/>
                            </a:ext>
                          </a:extLst>
                        </a:blip>
                        <a:srcRect/>
                        <a:stretch>
                          <a:fillRect/>
                        </a:stretch>
                      </pic:blipFill>
                      <pic:spPr bwMode="auto">
                        <a:xfrm>
                          <a:off x="0" y="0"/>
                          <a:ext cx="2289266" cy="5682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c>
    </w:tr>
    <w:tr w:rsidR="00626FBD" w:rsidRPr="00DE3909" w14:paraId="118E2005" w14:textId="77777777" w:rsidTr="00940364">
      <w:tc>
        <w:tcPr>
          <w:tcW w:w="9423" w:type="dxa"/>
          <w:gridSpan w:val="2"/>
        </w:tcPr>
        <w:p w14:paraId="6A54B4AC" w14:textId="77777777" w:rsidR="00626FBD" w:rsidRDefault="00626FBD" w:rsidP="00626FBD">
          <w:pPr>
            <w:pStyle w:val="Header"/>
            <w:tabs>
              <w:tab w:val="clear" w:pos="4513"/>
              <w:tab w:val="clear" w:pos="9026"/>
            </w:tabs>
            <w:ind w:left="57" w:firstLine="57"/>
            <w:jc w:val="center"/>
            <w:rPr>
              <w:rFonts w:cstheme="minorHAnsi"/>
              <w:i/>
              <w:iCs/>
              <w:color w:val="002060"/>
              <w:sz w:val="20"/>
              <w:szCs w:val="20"/>
            </w:rPr>
          </w:pPr>
          <w:r w:rsidRPr="00DE3909">
            <w:rPr>
              <w:rFonts w:cstheme="minorHAnsi"/>
              <w:color w:val="002060"/>
              <w:sz w:val="20"/>
              <w:szCs w:val="20"/>
            </w:rPr>
            <w:t>NSW Specialist Homelessness Services: Q</w:t>
          </w:r>
          <w:r w:rsidRPr="00DE3909">
            <w:rPr>
              <w:rFonts w:cstheme="minorHAnsi"/>
              <w:i/>
              <w:iCs/>
              <w:color w:val="002060"/>
              <w:sz w:val="20"/>
              <w:szCs w:val="20"/>
            </w:rPr>
            <w:t>uality Standards Implementation Resource Kit</w:t>
          </w:r>
        </w:p>
        <w:p w14:paraId="5FCE89ED" w14:textId="60193356" w:rsidR="00DC5A7C" w:rsidRPr="00DE3909" w:rsidRDefault="00DC5A7C" w:rsidP="00DC5A7C">
          <w:pPr>
            <w:pStyle w:val="Header"/>
            <w:tabs>
              <w:tab w:val="clear" w:pos="4513"/>
              <w:tab w:val="clear" w:pos="9026"/>
            </w:tabs>
            <w:spacing w:before="0"/>
            <w:ind w:left="57" w:firstLine="57"/>
            <w:jc w:val="center"/>
            <w:rPr>
              <w:rFonts w:cstheme="minorHAnsi"/>
              <w:noProof/>
              <w:color w:val="002060"/>
              <w:sz w:val="18"/>
              <w:szCs w:val="18"/>
            </w:rPr>
          </w:pPr>
          <w:r>
            <w:rPr>
              <w:rFonts w:cstheme="minorHAnsi"/>
              <w:color w:val="002060"/>
              <w:sz w:val="20"/>
              <w:szCs w:val="20"/>
            </w:rPr>
            <w:t xml:space="preserve">Handout for </w:t>
          </w:r>
          <w:r w:rsidR="005B49B0">
            <w:rPr>
              <w:rFonts w:cstheme="minorHAnsi"/>
              <w:color w:val="002060"/>
              <w:sz w:val="20"/>
              <w:szCs w:val="20"/>
            </w:rPr>
            <w:t>C</w:t>
          </w:r>
          <w:r>
            <w:rPr>
              <w:rFonts w:cstheme="minorHAnsi"/>
              <w:color w:val="002060"/>
              <w:sz w:val="20"/>
              <w:szCs w:val="20"/>
            </w:rPr>
            <w:t xml:space="preserve">lients </w:t>
          </w:r>
        </w:p>
      </w:tc>
    </w:tr>
  </w:tbl>
  <w:p w14:paraId="37E8D795" w14:textId="77777777" w:rsidR="00626FBD" w:rsidRPr="00DC5A7C" w:rsidRDefault="00626FBD" w:rsidP="00DC5A7C">
    <w:pPr>
      <w:pStyle w:val="Header"/>
      <w:spacing w:before="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A6AEA"/>
    <w:multiLevelType w:val="hybridMultilevel"/>
    <w:tmpl w:val="B9069816"/>
    <w:lvl w:ilvl="0" w:tplc="0C090005">
      <w:start w:val="1"/>
      <w:numFmt w:val="bullet"/>
      <w:lvlText w:val=""/>
      <w:lvlJc w:val="left"/>
      <w:pPr>
        <w:ind w:left="720" w:hanging="360"/>
      </w:pPr>
      <w:rPr>
        <w:rFonts w:ascii="Wingdings" w:hAnsi="Wingding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104E38"/>
    <w:multiLevelType w:val="hybridMultilevel"/>
    <w:tmpl w:val="DCDEBB1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xMDS1sDQxNDMyNzRT0lEKTi0uzszPAykwqQUAbv5o5iwAAAA="/>
  </w:docVars>
  <w:rsids>
    <w:rsidRoot w:val="00626FBD"/>
    <w:rsid w:val="002C28BB"/>
    <w:rsid w:val="0030399F"/>
    <w:rsid w:val="005B49B0"/>
    <w:rsid w:val="005E16B5"/>
    <w:rsid w:val="00626FBD"/>
    <w:rsid w:val="006459CC"/>
    <w:rsid w:val="007B4BF0"/>
    <w:rsid w:val="00B81F31"/>
    <w:rsid w:val="00D96E38"/>
    <w:rsid w:val="00DC5A7C"/>
    <w:rsid w:val="00E01F73"/>
    <w:rsid w:val="00E618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4AE47"/>
  <w15:chartTrackingRefBased/>
  <w15:docId w15:val="{4EDB2927-B9E7-4F87-A9DE-045CF736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A7C"/>
    <w:pPr>
      <w:spacing w:before="120" w:after="12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Header Char1 Char Char Char Char,Header Char Char Char Char Char Char,Header Char Char1 Char Char,Header Char Char2 Char,Header Char1 Char Char1 Char"/>
    <w:basedOn w:val="Normal"/>
    <w:link w:val="HeaderChar"/>
    <w:uiPriority w:val="99"/>
    <w:unhideWhenUsed/>
    <w:rsid w:val="00626FBD"/>
    <w:pPr>
      <w:tabs>
        <w:tab w:val="center" w:pos="4513"/>
        <w:tab w:val="right" w:pos="9026"/>
      </w:tabs>
      <w:spacing w:after="0"/>
    </w:pPr>
  </w:style>
  <w:style w:type="character" w:customStyle="1" w:styleId="HeaderChar">
    <w:name w:val="Header Char"/>
    <w:aliases w:val="Header Char1 Char,Header Char Char Char,Header Char1 Char Char Char,Header Char Char Char Char Char,Header Char1 Char Char Char Char Char,Header Char Char Char Char Char Char Char,Header Char Char1 Char Char Char,Header Char Char2 Char Char"/>
    <w:basedOn w:val="DefaultParagraphFont"/>
    <w:link w:val="Header"/>
    <w:uiPriority w:val="99"/>
    <w:rsid w:val="00626FBD"/>
  </w:style>
  <w:style w:type="paragraph" w:styleId="Footer">
    <w:name w:val="footer"/>
    <w:basedOn w:val="Normal"/>
    <w:link w:val="FooterChar"/>
    <w:uiPriority w:val="99"/>
    <w:unhideWhenUsed/>
    <w:rsid w:val="00626FBD"/>
    <w:pPr>
      <w:tabs>
        <w:tab w:val="center" w:pos="4513"/>
        <w:tab w:val="right" w:pos="9026"/>
      </w:tabs>
      <w:spacing w:after="0"/>
    </w:pPr>
  </w:style>
  <w:style w:type="character" w:customStyle="1" w:styleId="FooterChar">
    <w:name w:val="Footer Char"/>
    <w:basedOn w:val="DefaultParagraphFont"/>
    <w:link w:val="Footer"/>
    <w:uiPriority w:val="99"/>
    <w:rsid w:val="00626FBD"/>
  </w:style>
  <w:style w:type="table" w:styleId="TableGrid">
    <w:name w:val="Table Grid"/>
    <w:basedOn w:val="TableNormal"/>
    <w:uiPriority w:val="39"/>
    <w:rsid w:val="00626FBD"/>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5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1A221FB85AF2449A790573BD88C81D" ma:contentTypeVersion="12" ma:contentTypeDescription="Create a new document." ma:contentTypeScope="" ma:versionID="37ab48f39a2275baa06bc41f4e46dd43">
  <xsd:schema xmlns:xsd="http://www.w3.org/2001/XMLSchema" xmlns:xs="http://www.w3.org/2001/XMLSchema" xmlns:p="http://schemas.microsoft.com/office/2006/metadata/properties" xmlns:ns2="631903b3-48bf-4aae-a3a8-1272723628d8" xmlns:ns3="a6307744-31e9-47c1-9829-e2c9c0fade14" targetNamespace="http://schemas.microsoft.com/office/2006/metadata/properties" ma:root="true" ma:fieldsID="a27c3cb5fe8f1cc3f429f5c69bec572d" ns2:_="" ns3:_="">
    <xsd:import namespace="631903b3-48bf-4aae-a3a8-1272723628d8"/>
    <xsd:import namespace="a6307744-31e9-47c1-9829-e2c9c0fade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903b3-48bf-4aae-a3a8-127272362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307744-31e9-47c1-9829-e2c9c0fade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165849-480A-4D0B-ACCD-3B8F62738C1B}"/>
</file>

<file path=customXml/itemProps2.xml><?xml version="1.0" encoding="utf-8"?>
<ds:datastoreItem xmlns:ds="http://schemas.openxmlformats.org/officeDocument/2006/customXml" ds:itemID="{29C68EE4-77A2-4442-912C-126925F5880A}"/>
</file>

<file path=customXml/itemProps3.xml><?xml version="1.0" encoding="utf-8"?>
<ds:datastoreItem xmlns:ds="http://schemas.openxmlformats.org/officeDocument/2006/customXml" ds:itemID="{A9D8ABF5-CAED-4940-9737-05524036D8F1}"/>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1146</Characters>
  <Application>Microsoft Office Word</Application>
  <DocSecurity>0</DocSecurity>
  <Lines>23</Lines>
  <Paragraphs>9</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Stojanovic</dc:creator>
  <cp:keywords/>
  <dc:description/>
  <cp:lastModifiedBy>Michelle Wutzke</cp:lastModifiedBy>
  <cp:revision>4</cp:revision>
  <dcterms:created xsi:type="dcterms:W3CDTF">2019-10-03T11:03:00Z</dcterms:created>
  <dcterms:modified xsi:type="dcterms:W3CDTF">2019-11-22T04:56:00Z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0x010100041A221FB85AF2449A790573BD88C81D</vt:lpwstr>
  </property>
  <property fmtid="{D5CDD505-2E9C-101B-9397-08002B2CF9AE}" pid="3" name="Order">
    <vt:r8>2364700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